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94424E">
        <w:trPr>
          <w:jc w:val="center"/>
        </w:trPr>
        <w:tc>
          <w:tcPr>
            <w:tcW w:w="743" w:type="dxa"/>
          </w:tcPr>
          <w:p w:rsidR="0094424E" w:rsidRPr="00A00812" w:rsidRDefault="0094424E" w:rsidP="00D54553">
            <w:pPr>
              <w:suppressLineNumbers/>
              <w:jc w:val="both"/>
              <w:rPr>
                <w:rFonts w:ascii="Arial" w:hAnsi="Arial"/>
                <w:b/>
                <w:bCs/>
                <w:sz w:val="26"/>
                <w:szCs w:val="26"/>
                <w:rtl/>
              </w:rPr>
            </w:pPr>
            <w:r>
              <w:rPr>
                <w:rtl/>
              </w:rPr>
              <w:t xml:space="preserve"> </w:t>
            </w:r>
            <w:r w:rsidR="00D54553">
              <w:rPr>
                <w:rFonts w:ascii="Arial" w:hAnsi="Arial" w:hint="cs"/>
                <w:b/>
                <w:bCs/>
                <w:sz w:val="26"/>
                <w:szCs w:val="26"/>
                <w:rtl/>
              </w:rPr>
              <w:t>ל</w:t>
            </w:r>
            <w:r w:rsidRPr="00A00812">
              <w:rPr>
                <w:rFonts w:ascii="Arial" w:hAnsi="Arial"/>
                <w:b/>
                <w:bCs/>
                <w:sz w:val="26"/>
                <w:szCs w:val="26"/>
                <w:rtl/>
              </w:rPr>
              <w:t xml:space="preserve">פני </w:t>
            </w:r>
          </w:p>
        </w:tc>
        <w:tc>
          <w:tcPr>
            <w:tcW w:w="8077" w:type="dxa"/>
            <w:gridSpan w:val="2"/>
          </w:tcPr>
          <w:p w:rsidR="0094424E" w:rsidRPr="00A00812" w:rsidRDefault="007E3972" w:rsidP="00BF3560">
            <w:pPr>
              <w:suppressLineNumbers/>
              <w:rPr>
                <w:rFonts w:ascii="Arial" w:hAnsi="Arial" w:cs="FrankRuehl"/>
                <w:sz w:val="26"/>
                <w:szCs w:val="26"/>
                <w:highlight w:val="yellow"/>
              </w:rPr>
            </w:pPr>
            <w:r w:rsidRPr="00A00812">
              <w:rPr>
                <w:rFonts w:ascii="Arial" w:hAnsi="Arial" w:hint="cs"/>
                <w:b/>
                <w:bCs/>
                <w:sz w:val="26"/>
                <w:szCs w:val="26"/>
                <w:rtl/>
              </w:rPr>
              <w:t xml:space="preserve">כב' </w:t>
            </w:r>
            <w:r w:rsidR="00246980" w:rsidRPr="00A00812">
              <w:rPr>
                <w:rFonts w:ascii="Arial" w:hAnsi="Arial" w:hint="cs"/>
                <w:b/>
                <w:bCs/>
                <w:sz w:val="26"/>
                <w:szCs w:val="26"/>
                <w:rtl/>
              </w:rPr>
              <w:t>השופט</w:t>
            </w:r>
            <w:r w:rsidR="00F3036B" w:rsidRPr="00A00812">
              <w:rPr>
                <w:rFonts w:ascii="Arial" w:hAnsi="Arial" w:hint="cs"/>
                <w:b/>
                <w:bCs/>
                <w:sz w:val="26"/>
                <w:szCs w:val="26"/>
                <w:rtl/>
              </w:rPr>
              <w:t xml:space="preserve"> הבכיר,</w:t>
            </w:r>
            <w:r w:rsidR="00246980" w:rsidRPr="00A00812">
              <w:rPr>
                <w:rFonts w:ascii="Arial" w:hAnsi="Arial" w:hint="cs"/>
                <w:b/>
                <w:bCs/>
                <w:sz w:val="26"/>
                <w:szCs w:val="26"/>
                <w:rtl/>
              </w:rPr>
              <w:t xml:space="preserve"> מרדכי </w:t>
            </w:r>
            <w:r w:rsidR="00A832ED" w:rsidRPr="00A00812">
              <w:rPr>
                <w:rFonts w:ascii="Arial" w:hAnsi="Arial" w:hint="cs"/>
                <w:b/>
                <w:bCs/>
                <w:sz w:val="26"/>
                <w:szCs w:val="26"/>
                <w:rtl/>
              </w:rPr>
              <w:t xml:space="preserve">(מוטי) </w:t>
            </w:r>
            <w:r w:rsidR="00246980" w:rsidRPr="00A00812">
              <w:rPr>
                <w:rFonts w:ascii="Arial" w:hAnsi="Arial" w:hint="cs"/>
                <w:b/>
                <w:bCs/>
                <w:sz w:val="26"/>
                <w:szCs w:val="26"/>
                <w:rtl/>
              </w:rPr>
              <w:t>לוי</w:t>
            </w:r>
          </w:p>
        </w:tc>
      </w:tr>
      <w:tr w:rsidR="0094424E" w:rsidTr="00465D36">
        <w:trPr>
          <w:jc w:val="center"/>
        </w:trPr>
        <w:tc>
          <w:tcPr>
            <w:tcW w:w="3249" w:type="dxa"/>
            <w:gridSpan w:val="2"/>
          </w:tcPr>
          <w:p w:rsidR="0094424E" w:rsidRDefault="0094424E" w:rsidP="00D44968">
            <w:pPr>
              <w:suppressLineNumbers/>
              <w:rPr>
                <w:rFonts w:ascii="Arial" w:hAnsi="Arial"/>
                <w:b/>
                <w:bCs/>
                <w:noProof w:val="0"/>
                <w:sz w:val="26"/>
                <w:szCs w:val="26"/>
              </w:rPr>
            </w:pPr>
          </w:p>
          <w:p w:rsidR="004E5315" w:rsidRDefault="00B25959" w:rsidP="00D54553">
            <w:pPr>
              <w:suppressLineNumbers/>
              <w:rPr>
                <w:rFonts w:ascii="Arial" w:hAnsi="Arial"/>
                <w:b/>
                <w:bCs/>
                <w:noProof w:val="0"/>
                <w:sz w:val="26"/>
                <w:szCs w:val="26"/>
                <w:rtl/>
              </w:rPr>
            </w:pPr>
            <w:r>
              <w:rPr>
                <w:rFonts w:ascii="Arial" w:hAnsi="Arial"/>
                <w:b/>
                <w:bCs/>
                <w:noProof w:val="0"/>
                <w:sz w:val="26"/>
                <w:szCs w:val="26"/>
                <w:rtl/>
              </w:rPr>
              <w:t>תובע</w:t>
            </w:r>
            <w:r w:rsidR="00D54553">
              <w:rPr>
                <w:rFonts w:ascii="Arial" w:hAnsi="Arial" w:hint="cs"/>
                <w:b/>
                <w:bCs/>
                <w:noProof w:val="0"/>
                <w:sz w:val="26"/>
                <w:szCs w:val="26"/>
                <w:rtl/>
              </w:rPr>
              <w:t>ת</w:t>
            </w:r>
          </w:p>
        </w:tc>
        <w:tc>
          <w:tcPr>
            <w:tcW w:w="5571" w:type="dxa"/>
          </w:tcPr>
          <w:p w:rsidR="0094424E" w:rsidRDefault="0094424E" w:rsidP="00D44968">
            <w:pPr>
              <w:suppressLineNumbers/>
              <w:rPr>
                <w:rFonts w:ascii="Arial" w:hAnsi="Arial"/>
                <w:b/>
                <w:bCs/>
                <w:noProof w:val="0"/>
                <w:sz w:val="26"/>
                <w:szCs w:val="26"/>
                <w:rtl/>
              </w:rPr>
            </w:pPr>
          </w:p>
          <w:p w:rsidR="0094424E" w:rsidRDefault="00A00812" w:rsidP="005349BF">
            <w:pPr>
              <w:suppressLineNumbers/>
              <w:rPr>
                <w:b/>
                <w:bCs/>
                <w:noProof w:val="0"/>
                <w:sz w:val="26"/>
                <w:szCs w:val="26"/>
                <w:rtl/>
              </w:rPr>
            </w:pPr>
            <w:r>
              <w:rPr>
                <w:rFonts w:ascii="Arial" w:hAnsi="Arial"/>
                <w:b/>
                <w:bCs/>
                <w:noProof w:val="0"/>
                <w:sz w:val="26"/>
                <w:szCs w:val="26"/>
                <w:rtl/>
              </w:rPr>
              <w:t>ד</w:t>
            </w:r>
            <w:r w:rsidR="005349BF">
              <w:rPr>
                <w:rFonts w:ascii="Arial" w:hAnsi="Arial" w:hint="cs"/>
                <w:b/>
                <w:bCs/>
                <w:noProof w:val="0"/>
                <w:sz w:val="26"/>
                <w:szCs w:val="26"/>
                <w:rtl/>
              </w:rPr>
              <w:t>.</w:t>
            </w:r>
            <w:r>
              <w:rPr>
                <w:rFonts w:ascii="Arial" w:hAnsi="Arial"/>
                <w:b/>
                <w:bCs/>
                <w:noProof w:val="0"/>
                <w:sz w:val="26"/>
                <w:szCs w:val="26"/>
                <w:rtl/>
              </w:rPr>
              <w:t xml:space="preserve"> נ</w:t>
            </w:r>
            <w:r w:rsidR="005349BF">
              <w:rPr>
                <w:rFonts w:ascii="Arial" w:hAnsi="Arial" w:hint="cs"/>
                <w:b/>
                <w:bCs/>
                <w:noProof w:val="0"/>
                <w:sz w:val="26"/>
                <w:szCs w:val="26"/>
                <w:rtl/>
              </w:rPr>
              <w:t>.</w:t>
            </w:r>
          </w:p>
          <w:p w:rsidR="00D54553" w:rsidRPr="00D54553" w:rsidRDefault="00D54553" w:rsidP="00D44968">
            <w:pPr>
              <w:suppressLineNumbers/>
              <w:rPr>
                <w:noProof w:val="0"/>
              </w:rPr>
            </w:pPr>
            <w:r w:rsidRPr="00D54553">
              <w:rPr>
                <w:rFonts w:hint="cs"/>
                <w:noProof w:val="0"/>
                <w:rtl/>
              </w:rPr>
              <w:t>מיוצגת ע"י עוה"ד סיגל בילינסון שפרן וחני ארביב</w:t>
            </w:r>
          </w:p>
        </w:tc>
      </w:tr>
      <w:tr w:rsidR="0094424E">
        <w:trPr>
          <w:jc w:val="center"/>
        </w:trPr>
        <w:tc>
          <w:tcPr>
            <w:tcW w:w="8820" w:type="dxa"/>
            <w:gridSpan w:val="3"/>
          </w:tcPr>
          <w:p w:rsidR="0094424E" w:rsidRDefault="0094424E" w:rsidP="00D44968">
            <w:pPr>
              <w:suppressLineNumbers/>
              <w:rPr>
                <w:rFonts w:ascii="Arial" w:hAnsi="Arial"/>
                <w:b/>
                <w:bCs/>
                <w:noProof w:val="0"/>
                <w:sz w:val="26"/>
                <w:szCs w:val="26"/>
                <w:rtl/>
              </w:rPr>
            </w:pPr>
          </w:p>
          <w:p w:rsidR="0094424E" w:rsidRDefault="0094424E" w:rsidP="00D54553">
            <w:pPr>
              <w:suppressLineNumbers/>
              <w:jc w:val="center"/>
              <w:rPr>
                <w:rFonts w:ascii="Arial" w:hAnsi="Arial"/>
                <w:b/>
                <w:bCs/>
                <w:noProof w:val="0"/>
                <w:sz w:val="26"/>
                <w:szCs w:val="26"/>
              </w:rPr>
            </w:pPr>
            <w:r>
              <w:rPr>
                <w:rFonts w:ascii="Arial" w:hAnsi="Arial"/>
                <w:b/>
                <w:bCs/>
                <w:noProof w:val="0"/>
                <w:sz w:val="26"/>
                <w:szCs w:val="26"/>
                <w:rtl/>
              </w:rPr>
              <w:t>נגד</w:t>
            </w:r>
          </w:p>
        </w:tc>
      </w:tr>
      <w:tr w:rsidR="0094424E">
        <w:trPr>
          <w:jc w:val="center"/>
        </w:trPr>
        <w:tc>
          <w:tcPr>
            <w:tcW w:w="3249" w:type="dxa"/>
            <w:gridSpan w:val="2"/>
          </w:tcPr>
          <w:p w:rsidR="0094424E" w:rsidRDefault="0094424E" w:rsidP="00D44968">
            <w:pPr>
              <w:suppressLineNumbers/>
              <w:rPr>
                <w:rFonts w:ascii="Arial" w:hAnsi="Arial"/>
                <w:b/>
                <w:bCs/>
                <w:noProof w:val="0"/>
                <w:sz w:val="26"/>
                <w:szCs w:val="26"/>
                <w:rtl/>
              </w:rPr>
            </w:pPr>
          </w:p>
          <w:p w:rsidR="0094424E" w:rsidRDefault="00A00812" w:rsidP="00D54553">
            <w:pPr>
              <w:suppressLineNumbers/>
              <w:rPr>
                <w:rFonts w:ascii="Arial" w:hAnsi="Arial"/>
                <w:b/>
                <w:bCs/>
                <w:noProof w:val="0"/>
                <w:sz w:val="26"/>
                <w:szCs w:val="26"/>
              </w:rPr>
            </w:pPr>
            <w:r>
              <w:rPr>
                <w:rFonts w:ascii="Arial" w:hAnsi="Arial"/>
                <w:b/>
                <w:bCs/>
                <w:noProof w:val="0"/>
                <w:sz w:val="26"/>
                <w:szCs w:val="26"/>
                <w:rtl/>
              </w:rPr>
              <w:t>נתבע</w:t>
            </w:r>
          </w:p>
        </w:tc>
        <w:tc>
          <w:tcPr>
            <w:tcW w:w="5571" w:type="dxa"/>
          </w:tcPr>
          <w:p w:rsidR="0094424E" w:rsidRDefault="0094424E" w:rsidP="00D44968">
            <w:pPr>
              <w:suppressLineNumbers/>
              <w:rPr>
                <w:rFonts w:ascii="Arial" w:hAnsi="Arial"/>
                <w:b/>
                <w:bCs/>
                <w:noProof w:val="0"/>
                <w:sz w:val="26"/>
                <w:szCs w:val="26"/>
                <w:rtl/>
              </w:rPr>
            </w:pPr>
          </w:p>
          <w:p w:rsidR="0094424E" w:rsidRDefault="00A00812" w:rsidP="005349BF">
            <w:pPr>
              <w:suppressLineNumbers/>
              <w:rPr>
                <w:b/>
                <w:bCs/>
                <w:noProof w:val="0"/>
                <w:sz w:val="26"/>
                <w:szCs w:val="26"/>
                <w:rtl/>
              </w:rPr>
            </w:pPr>
            <w:proofErr w:type="spellStart"/>
            <w:r>
              <w:rPr>
                <w:rFonts w:ascii="Arial" w:hAnsi="Arial"/>
                <w:b/>
                <w:bCs/>
                <w:noProof w:val="0"/>
                <w:sz w:val="26"/>
                <w:szCs w:val="26"/>
                <w:rtl/>
              </w:rPr>
              <w:t>ש</w:t>
            </w:r>
            <w:r w:rsidR="005349BF">
              <w:rPr>
                <w:rFonts w:ascii="Arial" w:hAnsi="Arial" w:hint="cs"/>
                <w:b/>
                <w:bCs/>
                <w:noProof w:val="0"/>
                <w:sz w:val="26"/>
                <w:szCs w:val="26"/>
                <w:rtl/>
              </w:rPr>
              <w:t>.</w:t>
            </w:r>
            <w:r>
              <w:rPr>
                <w:rFonts w:ascii="Arial" w:hAnsi="Arial"/>
                <w:b/>
                <w:bCs/>
                <w:noProof w:val="0"/>
                <w:sz w:val="26"/>
                <w:szCs w:val="26"/>
                <w:rtl/>
              </w:rPr>
              <w:t>נ</w:t>
            </w:r>
            <w:r w:rsidR="005349BF">
              <w:rPr>
                <w:rFonts w:ascii="Arial" w:hAnsi="Arial" w:hint="cs"/>
                <w:b/>
                <w:bCs/>
                <w:noProof w:val="0"/>
                <w:sz w:val="26"/>
                <w:szCs w:val="26"/>
                <w:rtl/>
              </w:rPr>
              <w:t>.</w:t>
            </w:r>
            <w:r>
              <w:rPr>
                <w:rFonts w:ascii="Arial" w:hAnsi="Arial"/>
                <w:b/>
                <w:bCs/>
                <w:noProof w:val="0"/>
                <w:sz w:val="26"/>
                <w:szCs w:val="26"/>
                <w:rtl/>
              </w:rPr>
              <w:t>נ</w:t>
            </w:r>
            <w:proofErr w:type="spellEnd"/>
            <w:r w:rsidR="005349BF">
              <w:rPr>
                <w:rFonts w:ascii="Arial" w:hAnsi="Arial" w:hint="cs"/>
                <w:b/>
                <w:bCs/>
                <w:noProof w:val="0"/>
                <w:sz w:val="26"/>
                <w:szCs w:val="26"/>
                <w:rtl/>
              </w:rPr>
              <w:t>.</w:t>
            </w:r>
          </w:p>
          <w:p w:rsidR="00D54553" w:rsidRPr="00D54553" w:rsidRDefault="00D54553" w:rsidP="00D44968">
            <w:pPr>
              <w:suppressLineNumbers/>
              <w:rPr>
                <w:noProof w:val="0"/>
                <w:rtl/>
              </w:rPr>
            </w:pPr>
            <w:r w:rsidRPr="00D54553">
              <w:rPr>
                <w:rFonts w:hint="cs"/>
                <w:noProof w:val="0"/>
                <w:rtl/>
              </w:rPr>
              <w:t xml:space="preserve">מיוצג ע"י עוה"ד יונתן דוד ואפרים לוזון </w:t>
            </w:r>
          </w:p>
        </w:tc>
      </w:tr>
      <w:tr w:rsidR="004C17EE" w:rsidTr="00D620FD">
        <w:trPr>
          <w:jc w:val="center"/>
        </w:trPr>
        <w:tc>
          <w:tcPr>
            <w:tcW w:w="8820" w:type="dxa"/>
            <w:gridSpan w:val="3"/>
          </w:tcPr>
          <w:p w:rsidR="004E5315" w:rsidRDefault="004E5315">
            <w:pPr>
              <w:suppressLineNumbers/>
              <w:rPr>
                <w:rFonts w:ascii="Arial" w:hAnsi="Arial"/>
                <w:b/>
                <w:bCs/>
                <w:noProof w:val="0"/>
                <w:sz w:val="26"/>
                <w:szCs w:val="26"/>
                <w:rtl/>
              </w:rPr>
            </w:pPr>
          </w:p>
        </w:tc>
      </w:tr>
    </w:tbl>
    <w:p w:rsidR="0094424E" w:rsidRDefault="0094424E" w:rsidP="00D44968">
      <w:pPr>
        <w:suppressLineNumbers/>
        <w:rPr>
          <w:rtl/>
        </w:rPr>
      </w:pPr>
    </w:p>
    <w:p w:rsidR="00D54553" w:rsidRPr="00D54553" w:rsidRDefault="00D54553" w:rsidP="00D54553">
      <w:pPr>
        <w:suppressLineNumbers/>
        <w:rPr>
          <w:b/>
          <w:bCs/>
          <w:sz w:val="26"/>
          <w:szCs w:val="26"/>
          <w:rtl/>
        </w:rPr>
      </w:pPr>
      <w:r w:rsidRPr="00D54553">
        <w:rPr>
          <w:rFonts w:hint="cs"/>
          <w:b/>
          <w:bCs/>
          <w:sz w:val="26"/>
          <w:szCs w:val="26"/>
          <w:rtl/>
        </w:rPr>
        <w:t>ובעניין</w:t>
      </w:r>
      <w:r>
        <w:rPr>
          <w:rFonts w:hint="cs"/>
          <w:b/>
          <w:bCs/>
          <w:sz w:val="26"/>
          <w:szCs w:val="26"/>
          <w:rtl/>
        </w:rPr>
        <w:t xml:space="preserve">: </w:t>
      </w:r>
      <w:r w:rsidRPr="00D54553">
        <w:rPr>
          <w:rFonts w:hint="cs"/>
          <w:b/>
          <w:bCs/>
          <w:sz w:val="26"/>
          <w:szCs w:val="26"/>
          <w:rtl/>
        </w:rPr>
        <w:t xml:space="preserve"> כונסות הנכסים עו"ד </w:t>
      </w:r>
      <w:r w:rsidRPr="00D54553">
        <w:rPr>
          <w:rFonts w:hint="cs"/>
          <w:b/>
          <w:bCs/>
          <w:noProof w:val="0"/>
          <w:sz w:val="26"/>
          <w:szCs w:val="26"/>
          <w:rtl/>
        </w:rPr>
        <w:t xml:space="preserve">סיגל בילינסון ועו"ד רותם </w:t>
      </w:r>
      <w:proofErr w:type="spellStart"/>
      <w:r w:rsidRPr="00D54553">
        <w:rPr>
          <w:rFonts w:hint="cs"/>
          <w:b/>
          <w:bCs/>
          <w:noProof w:val="0"/>
          <w:sz w:val="26"/>
          <w:szCs w:val="26"/>
          <w:rtl/>
        </w:rPr>
        <w:t>גליקסברג</w:t>
      </w:r>
      <w:proofErr w:type="spellEnd"/>
    </w:p>
    <w:p w:rsidR="00D54553" w:rsidRPr="00D54553" w:rsidRDefault="00D54553" w:rsidP="00D44968">
      <w:pPr>
        <w:suppressLineNumbers/>
        <w:rPr>
          <w:sz w:val="26"/>
          <w:szCs w:val="26"/>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trPr>
          <w:jc w:val="center"/>
        </w:trPr>
        <w:tc>
          <w:tcPr>
            <w:tcW w:w="8820" w:type="dxa"/>
          </w:tcPr>
          <w:p w:rsidR="00694556" w:rsidRDefault="00180519">
            <w:pPr>
              <w:bidi w:val="0"/>
              <w:jc w:val="center"/>
              <w:rPr>
                <w:rFonts w:ascii="Arial" w:hAnsi="Arial"/>
                <w:b/>
                <w:bCs/>
                <w:noProof w:val="0"/>
                <w:sz w:val="28"/>
                <w:szCs w:val="28"/>
                <w:u w:val="single"/>
                <w:rtl/>
              </w:rPr>
            </w:pPr>
            <w:r w:rsidRPr="00D44968">
              <w:rPr>
                <w:rFonts w:ascii="Arial" w:hAnsi="Arial" w:hint="cs"/>
                <w:b/>
                <w:bCs/>
                <w:noProof w:val="0"/>
                <w:sz w:val="28"/>
                <w:szCs w:val="28"/>
                <w:u w:val="single"/>
                <w:rtl/>
              </w:rPr>
              <w:t>החלטה</w:t>
            </w:r>
          </w:p>
          <w:p w:rsidR="00D44968" w:rsidRPr="00D44968" w:rsidRDefault="00D44968" w:rsidP="00D44968">
            <w:pPr>
              <w:bidi w:val="0"/>
              <w:jc w:val="center"/>
              <w:rPr>
                <w:rFonts w:ascii="Arial" w:hAnsi="Arial"/>
                <w:b/>
                <w:bCs/>
                <w:noProof w:val="0"/>
                <w:sz w:val="28"/>
                <w:szCs w:val="28"/>
                <w:u w:val="single"/>
              </w:rPr>
            </w:pPr>
          </w:p>
        </w:tc>
      </w:tr>
    </w:tbl>
    <w:p w:rsidR="00694556" w:rsidRDefault="00694556">
      <w:pPr>
        <w:spacing w:line="360" w:lineRule="auto"/>
        <w:jc w:val="both"/>
        <w:rPr>
          <w:rFonts w:ascii="Arial" w:hAnsi="Arial"/>
          <w:noProof w:val="0"/>
          <w:rtl/>
        </w:rPr>
      </w:pPr>
      <w:bookmarkStart w:id="0" w:name="NGCSBookmark"/>
      <w:bookmarkEnd w:id="0"/>
    </w:p>
    <w:p w:rsidR="00D54553" w:rsidRDefault="00D54553" w:rsidP="00D54553">
      <w:pPr>
        <w:spacing w:line="360" w:lineRule="auto"/>
        <w:ind w:left="713" w:hanging="720"/>
        <w:jc w:val="both"/>
        <w:rPr>
          <w:rFonts w:ascii="David" w:hAnsi="David"/>
          <w:noProof w:val="0"/>
        </w:rPr>
      </w:pPr>
      <w:r>
        <w:rPr>
          <w:rFonts w:ascii="David" w:hAnsi="David"/>
          <w:rtl/>
        </w:rPr>
        <w:t>בהמשך לדיון שהתקיים ביום 5.2.2025 להלן החלטתי.</w:t>
      </w:r>
    </w:p>
    <w:p w:rsidR="00D54553" w:rsidRDefault="00D54553" w:rsidP="00D54553">
      <w:pPr>
        <w:spacing w:line="360" w:lineRule="auto"/>
        <w:ind w:left="713" w:hanging="720"/>
        <w:jc w:val="both"/>
        <w:rPr>
          <w:rFonts w:ascii="David" w:hAnsi="David"/>
          <w:b/>
          <w:bCs/>
          <w:u w:val="single"/>
          <w:rtl/>
        </w:rPr>
      </w:pPr>
    </w:p>
    <w:p w:rsidR="00D54553" w:rsidRDefault="00D54553" w:rsidP="00D54553">
      <w:pPr>
        <w:spacing w:line="360" w:lineRule="auto"/>
        <w:ind w:left="713" w:hanging="720"/>
        <w:jc w:val="both"/>
        <w:rPr>
          <w:rFonts w:ascii="David" w:hAnsi="David"/>
          <w:b/>
          <w:bCs/>
          <w:u w:val="single"/>
          <w:rtl/>
        </w:rPr>
      </w:pPr>
      <w:r>
        <w:rPr>
          <w:rFonts w:ascii="David" w:hAnsi="David"/>
          <w:b/>
          <w:bCs/>
          <w:u w:val="single"/>
          <w:rtl/>
        </w:rPr>
        <w:t>העובדות הצריכות להחלטה</w:t>
      </w:r>
      <w:r w:rsidRPr="00D54553">
        <w:rPr>
          <w:rFonts w:ascii="David" w:hAnsi="David"/>
          <w:b/>
          <w:bCs/>
          <w:rtl/>
        </w:rPr>
        <w:t>:</w:t>
      </w:r>
    </w:p>
    <w:p w:rsidR="00D54553" w:rsidRDefault="00D54553" w:rsidP="00D54553">
      <w:pPr>
        <w:spacing w:line="360" w:lineRule="auto"/>
        <w:ind w:left="713" w:hanging="720"/>
        <w:jc w:val="both"/>
        <w:rPr>
          <w:rFonts w:ascii="David" w:hAnsi="David"/>
          <w:b/>
          <w:bCs/>
          <w:u w:val="single"/>
          <w:rtl/>
        </w:rPr>
      </w:pPr>
    </w:p>
    <w:p w:rsidR="00D54553" w:rsidRPr="00D54553" w:rsidRDefault="00D54553" w:rsidP="00D54553">
      <w:pPr>
        <w:spacing w:line="360" w:lineRule="auto"/>
        <w:ind w:left="713" w:hanging="720"/>
        <w:jc w:val="both"/>
        <w:rPr>
          <w:rFonts w:ascii="David" w:hAnsi="David"/>
          <w:rtl/>
        </w:rPr>
      </w:pPr>
      <w:r w:rsidRPr="00D54553">
        <w:rPr>
          <w:rFonts w:ascii="David" w:hAnsi="David"/>
          <w:rtl/>
        </w:rPr>
        <w:t>1.</w:t>
      </w:r>
      <w:r>
        <w:rPr>
          <w:rFonts w:ascii="David" w:hAnsi="David"/>
          <w:rtl/>
        </w:rPr>
        <w:tab/>
      </w:r>
      <w:r w:rsidRPr="00D54553">
        <w:rPr>
          <w:rFonts w:ascii="David" w:hAnsi="David"/>
          <w:rtl/>
        </w:rPr>
        <w:t xml:space="preserve">עניינה של החלטה בבקשות דחופות שהוגשו על ידי הנתבע באמצעות בא כוחו החדש, הרביעי במספר לעיכוב הליכי הכינוס שנקבעו בהסכמתו. יאמר ומיד שהגשת הבקשות הדחופות של הנתבע לעיכוב הליכי הכינוס (שהוגשו אחת אחרי השנייה בבחינת 'עוד זה מדבר וזה בא'- הוגשו </w:t>
      </w:r>
      <w:r w:rsidRPr="00D54553">
        <w:rPr>
          <w:rFonts w:ascii="David" w:hAnsi="David"/>
          <w:u w:val="single"/>
          <w:rtl/>
        </w:rPr>
        <w:t>ללא תצהיר של הנתבע</w:t>
      </w:r>
      <w:r w:rsidRPr="00D54553">
        <w:rPr>
          <w:rFonts w:ascii="David" w:hAnsi="David"/>
          <w:rtl/>
        </w:rPr>
        <w:t xml:space="preserve">) באו לאוויר העולם לאחר 4 שנים וחצי בהן מתנהל התיק </w:t>
      </w:r>
      <w:r w:rsidRPr="00D54553">
        <w:rPr>
          <w:rFonts w:ascii="David" w:hAnsi="David"/>
          <w:u w:val="single"/>
          <w:rtl/>
        </w:rPr>
        <w:t>וכשנה וחצי לאחר המינוי בדיון בו השתתף הנתבע והיה מיוצג בו</w:t>
      </w:r>
      <w:r w:rsidRPr="00D54553">
        <w:rPr>
          <w:rFonts w:ascii="David" w:hAnsi="David"/>
          <w:rtl/>
        </w:rPr>
        <w:t xml:space="preserve">. עוד ראוי לציין, ואיני מתכוון לפרט את כל ההתרחשויות בתיק, הנתבע לא אפשר את הליך הכינוס לו הסכים, שיבש אותו פעם אחר פעם, הצריך פניות חוזרות ונשנות של כונסות הנכסים לבית המשפט ולא בכדי בתיק זה ניתנו למעלה מ- 140 החלטות. </w:t>
      </w:r>
    </w:p>
    <w:p w:rsidR="00D54553" w:rsidRPr="00D54553" w:rsidRDefault="00D54553" w:rsidP="00D54553">
      <w:pPr>
        <w:ind w:left="713" w:hanging="720"/>
        <w:rPr>
          <w:rtl/>
        </w:rPr>
      </w:pPr>
    </w:p>
    <w:p w:rsidR="00D54553" w:rsidRDefault="00D54553" w:rsidP="00D54553">
      <w:pPr>
        <w:spacing w:line="360" w:lineRule="auto"/>
        <w:ind w:left="713"/>
        <w:jc w:val="both"/>
        <w:rPr>
          <w:rFonts w:ascii="David" w:hAnsi="David"/>
          <w:rtl/>
        </w:rPr>
      </w:pPr>
      <w:r>
        <w:rPr>
          <w:rFonts w:ascii="David" w:hAnsi="David"/>
          <w:rtl/>
        </w:rPr>
        <w:t>התעמרותו של הנתבע הן בהליך הכינוס והן בכונסות הנכסים אך בעיקר בתובעת שלא מקבלת את יומה בבית המשפט קיבלו ביטוי הן בבקשות וההחלטות בתיק וכן בדבריהן, בין היתר,  של כונסות הנכסים בדיון שנקבע ליום 5.2.2025 לדון בבקשות השונות של הנתבע מצד אחד ושל כונסות הנכסים מצד שני  (להלן-</w:t>
      </w:r>
      <w:r>
        <w:rPr>
          <w:rFonts w:ascii="Miriam" w:hAnsi="Miriam" w:cs="Miriam"/>
          <w:b/>
          <w:bCs/>
          <w:rtl/>
        </w:rPr>
        <w:t>הדיון</w:t>
      </w:r>
      <w:r>
        <w:rPr>
          <w:rFonts w:ascii="David" w:hAnsi="David"/>
          <w:rtl/>
        </w:rPr>
        <w:t>).</w:t>
      </w:r>
    </w:p>
    <w:p w:rsidR="00D54553" w:rsidRDefault="00D54553" w:rsidP="00D54553">
      <w:pPr>
        <w:spacing w:line="360" w:lineRule="auto"/>
        <w:ind w:left="713"/>
        <w:jc w:val="both"/>
        <w:rPr>
          <w:rFonts w:ascii="David" w:hAnsi="David"/>
          <w:rtl/>
        </w:rPr>
      </w:pPr>
    </w:p>
    <w:p w:rsidR="00D54553" w:rsidRDefault="00D54553" w:rsidP="00D54553">
      <w:pPr>
        <w:spacing w:line="360" w:lineRule="auto"/>
        <w:ind w:left="713" w:hanging="713"/>
        <w:jc w:val="both"/>
        <w:rPr>
          <w:rFonts w:ascii="David" w:hAnsi="David"/>
          <w:rtl/>
        </w:rPr>
      </w:pPr>
      <w:r>
        <w:rPr>
          <w:rFonts w:ascii="David" w:hAnsi="David"/>
          <w:rtl/>
        </w:rPr>
        <w:t>2.</w:t>
      </w:r>
      <w:r>
        <w:rPr>
          <w:rFonts w:ascii="David" w:hAnsi="David"/>
          <w:rtl/>
        </w:rPr>
        <w:tab/>
        <w:t xml:space="preserve">ציינתי לעיל שהבקשות הוגשו ללא תצהיר. אין צורך להרחיב בדבר החובה לצרף תצהיר  תומך בבקשה המוגשת לבית משפט זה או להסביר מה טעם הוגשה הבקשה ללא תצהיר המבקש. הדבר מקל וחומר בתיק זה, הן בשל אופי הבקשות שאינן יכולות להיות מנותקות מההליך </w:t>
      </w:r>
      <w:r>
        <w:rPr>
          <w:rFonts w:ascii="David" w:hAnsi="David"/>
          <w:rtl/>
        </w:rPr>
        <w:lastRenderedPageBreak/>
        <w:t>עצמו שנוהל בידיעת הנתבע ובהסכמתו ומשום שבפועל הוא מתכחש לכך, והן לאור דברי עורך הדין בדיון "</w:t>
      </w:r>
      <w:r>
        <w:rPr>
          <w:rFonts w:ascii="David" w:hAnsi="David"/>
          <w:b/>
          <w:bCs/>
          <w:rtl/>
        </w:rPr>
        <w:t>אני נמצא בתיק בערך שבוע וחצי</w:t>
      </w:r>
      <w:r>
        <w:rPr>
          <w:rFonts w:ascii="David" w:hAnsi="David"/>
          <w:rtl/>
        </w:rPr>
        <w:t>...</w:t>
      </w:r>
      <w:r>
        <w:rPr>
          <w:rFonts w:ascii="David" w:hAnsi="David"/>
          <w:b/>
          <w:bCs/>
          <w:rtl/>
        </w:rPr>
        <w:t>אציין שאני ניזון מהנתבע שלא היה נוכח</w:t>
      </w:r>
      <w:r>
        <w:rPr>
          <w:rFonts w:ascii="David" w:hAnsi="David"/>
          <w:rtl/>
        </w:rPr>
        <w:t>" (פרוטוקול עמ' 12 ש' 21 ו- 31).</w:t>
      </w:r>
    </w:p>
    <w:p w:rsidR="00D54553" w:rsidRDefault="00D54553" w:rsidP="00D54553">
      <w:pPr>
        <w:spacing w:line="360" w:lineRule="auto"/>
        <w:ind w:left="713" w:hanging="713"/>
        <w:jc w:val="both"/>
        <w:rPr>
          <w:rFonts w:ascii="David" w:hAnsi="David"/>
          <w:rtl/>
        </w:rPr>
      </w:pPr>
    </w:p>
    <w:p w:rsidR="00D54553" w:rsidRDefault="00D54553" w:rsidP="00D54553">
      <w:pPr>
        <w:spacing w:line="360" w:lineRule="auto"/>
        <w:ind w:left="720" w:hanging="720"/>
        <w:jc w:val="both"/>
        <w:rPr>
          <w:rFonts w:ascii="David" w:hAnsi="David"/>
          <w:rtl/>
        </w:rPr>
      </w:pPr>
      <w:r>
        <w:rPr>
          <w:rFonts w:ascii="David" w:hAnsi="David"/>
          <w:rtl/>
        </w:rPr>
        <w:t>3.</w:t>
      </w:r>
      <w:r>
        <w:rPr>
          <w:rFonts w:ascii="David" w:hAnsi="David"/>
          <w:rtl/>
        </w:rPr>
        <w:tab/>
        <w:t>בשים לב לאמור ראוי היה לנקוט לשון פחות דרמטית  של הצגת הנתבע כ'קוזק הנגזל'  ולקבוע ש"...</w:t>
      </w:r>
      <w:r>
        <w:rPr>
          <w:rFonts w:ascii="David" w:hAnsi="David"/>
          <w:b/>
          <w:bCs/>
          <w:rtl/>
        </w:rPr>
        <w:t>הנתבע מסכן</w:t>
      </w:r>
      <w:r>
        <w:rPr>
          <w:rFonts w:ascii="David" w:hAnsi="David"/>
          <w:rtl/>
        </w:rPr>
        <w:t>" במיוחד  לאור דבריו לעיל (פרוטוקול עמ' 12 ש' 21).</w:t>
      </w:r>
    </w:p>
    <w:p w:rsidR="00D54553" w:rsidRDefault="00D54553" w:rsidP="00D54553">
      <w:pPr>
        <w:spacing w:line="360" w:lineRule="auto"/>
        <w:ind w:left="720" w:hanging="720"/>
        <w:jc w:val="both"/>
        <w:rPr>
          <w:rFonts w:ascii="David" w:hAnsi="David"/>
          <w:rtl/>
        </w:rPr>
      </w:pPr>
    </w:p>
    <w:p w:rsidR="00D54553" w:rsidRDefault="00D54553" w:rsidP="00D54553">
      <w:pPr>
        <w:spacing w:line="360" w:lineRule="auto"/>
        <w:ind w:left="720" w:hanging="720"/>
        <w:jc w:val="both"/>
        <w:rPr>
          <w:rFonts w:asciiTheme="minorHAnsi" w:hAnsiTheme="minorHAnsi" w:cstheme="minorBidi"/>
          <w:b/>
          <w:bCs/>
          <w:sz w:val="22"/>
          <w:szCs w:val="22"/>
          <w:rtl/>
        </w:rPr>
      </w:pPr>
      <w:r>
        <w:rPr>
          <w:rFonts w:ascii="David" w:hAnsi="David"/>
          <w:rtl/>
        </w:rPr>
        <w:t>4.</w:t>
      </w:r>
      <w:r>
        <w:rPr>
          <w:rFonts w:ascii="David" w:hAnsi="David"/>
          <w:rtl/>
        </w:rPr>
        <w:tab/>
        <w:t>לגופו של עניין. בדיון התרעם בא כוחו של הנתבע על מספר נושאים:</w:t>
      </w:r>
    </w:p>
    <w:p w:rsidR="00D54553" w:rsidRDefault="00D54553" w:rsidP="00D54553">
      <w:pPr>
        <w:spacing w:line="360" w:lineRule="auto"/>
        <w:ind w:left="720" w:hanging="720"/>
        <w:jc w:val="both"/>
        <w:rPr>
          <w:rFonts w:asciiTheme="minorHAnsi" w:hAnsiTheme="minorHAnsi" w:cstheme="minorBidi"/>
          <w:b/>
          <w:bCs/>
          <w:sz w:val="22"/>
          <w:szCs w:val="22"/>
          <w:rtl/>
        </w:rPr>
      </w:pPr>
    </w:p>
    <w:p w:rsidR="00D54553" w:rsidRPr="00D54553" w:rsidRDefault="00D54553" w:rsidP="00D54553">
      <w:pPr>
        <w:spacing w:line="360" w:lineRule="auto"/>
        <w:ind w:left="1440" w:hanging="720"/>
        <w:jc w:val="both"/>
        <w:rPr>
          <w:rFonts w:ascii="David" w:hAnsi="David"/>
          <w:rtl/>
        </w:rPr>
      </w:pPr>
      <w:r w:rsidRPr="00D54553">
        <w:rPr>
          <w:rFonts w:ascii="David" w:hAnsi="David"/>
          <w:rtl/>
        </w:rPr>
        <w:t>א.</w:t>
      </w:r>
      <w:r w:rsidRPr="00D54553">
        <w:rPr>
          <w:rFonts w:ascii="David" w:hAnsi="David"/>
          <w:rtl/>
        </w:rPr>
        <w:tab/>
      </w:r>
      <w:r w:rsidRPr="00D54553">
        <w:rPr>
          <w:rFonts w:ascii="David" w:hAnsi="David"/>
          <w:u w:val="single"/>
          <w:rtl/>
        </w:rPr>
        <w:t>כינוס הנכסים הוא על כלל הנכסים בניגוד לקביעה המפורשת של כבוד השופט ממן מיום 12.1.2023</w:t>
      </w:r>
      <w:r w:rsidRPr="00D54553">
        <w:rPr>
          <w:rFonts w:ascii="David" w:hAnsi="David"/>
          <w:rtl/>
        </w:rPr>
        <w:t>:</w:t>
      </w:r>
    </w:p>
    <w:p w:rsidR="00D54553" w:rsidRPr="00D54553" w:rsidRDefault="00D54553" w:rsidP="00D54553">
      <w:pPr>
        <w:ind w:left="1440" w:hanging="720"/>
        <w:rPr>
          <w:rtl/>
        </w:rPr>
      </w:pPr>
    </w:p>
    <w:p w:rsidR="00D54553" w:rsidRPr="00D54553" w:rsidRDefault="00D54553" w:rsidP="00D54553">
      <w:pPr>
        <w:pStyle w:val="ad"/>
        <w:numPr>
          <w:ilvl w:val="0"/>
          <w:numId w:val="3"/>
        </w:numPr>
        <w:spacing w:line="360" w:lineRule="auto"/>
        <w:jc w:val="both"/>
        <w:rPr>
          <w:rFonts w:ascii="David" w:hAnsi="David"/>
          <w:rtl/>
        </w:rPr>
      </w:pPr>
      <w:r w:rsidRPr="00D54553">
        <w:rPr>
          <w:rFonts w:ascii="David" w:hAnsi="David"/>
          <w:rtl/>
        </w:rPr>
        <w:t>הפנה להחלטתו של כב' השופט ממן מיום 12.1.2023 בה הורה על "...</w:t>
      </w:r>
      <w:r w:rsidRPr="00D54553">
        <w:rPr>
          <w:rFonts w:ascii="David" w:hAnsi="David"/>
          <w:b/>
          <w:bCs/>
          <w:rtl/>
        </w:rPr>
        <w:t xml:space="preserve">פירוק שיתוף ביחס לחנויות המפורטות בסעיפים 11 ב'-ג' להודעת הנתבע. </w:t>
      </w:r>
      <w:r w:rsidRPr="00D54553">
        <w:rPr>
          <w:rFonts w:ascii="David" w:hAnsi="David"/>
          <w:rtl/>
        </w:rPr>
        <w:t>...</w:t>
      </w:r>
      <w:r w:rsidRPr="00D54553">
        <w:rPr>
          <w:rFonts w:ascii="David" w:hAnsi="David"/>
          <w:b/>
          <w:bCs/>
          <w:rtl/>
        </w:rPr>
        <w:t xml:space="preserve">ביחס לנכס המפורט בסעיף 11 א להודעת הנתבע, נדרשת עמדת הנתבעת לאמור בהודעה וזאת בתוך אותו מועד. ביחס ליתר נכסיהם של הצדדים </w:t>
      </w:r>
      <w:r w:rsidRPr="00D54553">
        <w:rPr>
          <w:rFonts w:ascii="David" w:hAnsi="David"/>
          <w:b/>
          <w:bCs/>
          <w:u w:val="single"/>
          <w:rtl/>
        </w:rPr>
        <w:t>ובהעדר הסכמות ביניהם</w:t>
      </w:r>
      <w:r w:rsidRPr="00D54553">
        <w:rPr>
          <w:rFonts w:ascii="David" w:hAnsi="David"/>
          <w:b/>
          <w:bCs/>
          <w:rtl/>
        </w:rPr>
        <w:t>, נראה כי יש צורך בקביעת מועד לשמיעת הוכחות</w:t>
      </w:r>
      <w:r w:rsidRPr="00D54553">
        <w:rPr>
          <w:rFonts w:ascii="David" w:hAnsi="David"/>
          <w:rtl/>
        </w:rPr>
        <w:t xml:space="preserve">..." (הדגש בקו תחתי לא במקור). </w:t>
      </w:r>
    </w:p>
    <w:p w:rsidR="00D54553" w:rsidRPr="00362E28" w:rsidRDefault="00D54553" w:rsidP="00362E28">
      <w:pPr>
        <w:spacing w:line="360" w:lineRule="auto"/>
        <w:ind w:left="1440"/>
        <w:jc w:val="both"/>
        <w:rPr>
          <w:rFonts w:ascii="David" w:hAnsi="David"/>
          <w:rtl/>
        </w:rPr>
      </w:pPr>
    </w:p>
    <w:p w:rsidR="00D54553" w:rsidRPr="00D54553" w:rsidRDefault="00D54553" w:rsidP="00D54553">
      <w:pPr>
        <w:spacing w:line="360" w:lineRule="auto"/>
        <w:ind w:left="720" w:firstLine="720"/>
        <w:jc w:val="both"/>
        <w:rPr>
          <w:rFonts w:ascii="David" w:hAnsi="David"/>
          <w:rtl/>
        </w:rPr>
      </w:pPr>
      <w:r w:rsidRPr="00D54553">
        <w:rPr>
          <w:rFonts w:ascii="David" w:hAnsi="David"/>
          <w:rtl/>
        </w:rPr>
        <w:t>2.</w:t>
      </w:r>
      <w:r>
        <w:rPr>
          <w:rFonts w:ascii="David" w:hAnsi="David"/>
          <w:rtl/>
        </w:rPr>
        <w:tab/>
      </w:r>
      <w:r w:rsidRPr="00D54553">
        <w:rPr>
          <w:rFonts w:ascii="David" w:hAnsi="David"/>
          <w:rtl/>
        </w:rPr>
        <w:t xml:space="preserve">בדיון טען ב"כ הנתבע בהקשר זה:    </w:t>
      </w:r>
    </w:p>
    <w:p w:rsidR="00D54553" w:rsidRPr="00D54553" w:rsidRDefault="00D54553" w:rsidP="00D54553">
      <w:pPr>
        <w:ind w:left="720" w:firstLine="720"/>
        <w:rPr>
          <w:rtl/>
        </w:rPr>
      </w:pPr>
    </w:p>
    <w:p w:rsidR="00D54553" w:rsidRDefault="00D54553" w:rsidP="00D54553">
      <w:pPr>
        <w:spacing w:line="360" w:lineRule="auto"/>
        <w:ind w:left="2160"/>
        <w:jc w:val="both"/>
        <w:rPr>
          <w:rFonts w:ascii="David" w:hAnsi="David"/>
          <w:b/>
          <w:bCs/>
          <w:rtl/>
        </w:rPr>
      </w:pPr>
      <w:r>
        <w:rPr>
          <w:rFonts w:ascii="David" w:hAnsi="David"/>
          <w:rtl/>
        </w:rPr>
        <w:t>"...</w:t>
      </w:r>
      <w:r>
        <w:rPr>
          <w:rFonts w:ascii="David" w:hAnsi="David"/>
          <w:b/>
          <w:bCs/>
          <w:rtl/>
        </w:rPr>
        <w:t xml:space="preserve">אני שואל אדוני, עד היום לא ניתנה תשובה מתי נקבע או איפה היה המועד מהם הנכסים ברי האיזון. זה הבסיס. </w:t>
      </w:r>
    </w:p>
    <w:p w:rsidR="00D54553" w:rsidRDefault="00D54553" w:rsidP="00D54553">
      <w:pPr>
        <w:spacing w:line="360" w:lineRule="auto"/>
        <w:ind w:left="2160"/>
        <w:jc w:val="both"/>
        <w:rPr>
          <w:rFonts w:ascii="David" w:hAnsi="David"/>
          <w:b/>
          <w:bCs/>
        </w:rPr>
      </w:pPr>
      <w:r>
        <w:rPr>
          <w:rFonts w:ascii="David" w:hAnsi="David"/>
          <w:b/>
          <w:bCs/>
          <w:rtl/>
        </w:rPr>
        <w:t xml:space="preserve">זה מה שהיה, בין לבין ב"כ הנתבע אמרה שיש נתק עם הלקוח שלה וכתבה זאת באחת הבקשות ולאחר מכן החליף ייצוג.  לצערי לא הייתי מייצג בתיק הזה. נכון שאני עורך הדין הרביעי בתיק. </w:t>
      </w:r>
    </w:p>
    <w:p w:rsidR="00D54553" w:rsidRDefault="00D54553" w:rsidP="00D54553">
      <w:pPr>
        <w:spacing w:line="360" w:lineRule="auto"/>
        <w:ind w:left="2160"/>
        <w:jc w:val="both"/>
        <w:rPr>
          <w:rFonts w:ascii="David" w:hAnsi="David"/>
          <w:b/>
          <w:bCs/>
          <w:rtl/>
        </w:rPr>
      </w:pPr>
      <w:r>
        <w:rPr>
          <w:rFonts w:ascii="David" w:hAnsi="David"/>
          <w:b/>
          <w:bCs/>
          <w:rtl/>
        </w:rPr>
        <w:t xml:space="preserve">עד היום אדוני לא ניתנה החלטה בשאלת הדברים שנקבעו בהחלטה שהם ברי איזון. </w:t>
      </w:r>
    </w:p>
    <w:p w:rsidR="00D54553" w:rsidRDefault="00D54553" w:rsidP="00D54553">
      <w:pPr>
        <w:spacing w:line="360" w:lineRule="auto"/>
        <w:ind w:left="2160"/>
        <w:jc w:val="both"/>
        <w:rPr>
          <w:rFonts w:ascii="David" w:hAnsi="David"/>
          <w:b/>
          <w:bCs/>
          <w:rtl/>
        </w:rPr>
      </w:pPr>
      <w:r>
        <w:rPr>
          <w:rFonts w:ascii="David" w:hAnsi="David"/>
          <w:b/>
          <w:bCs/>
          <w:rtl/>
        </w:rPr>
        <w:t xml:space="preserve">ההליך התקדם ואני אומר זאת בזהירות ואדוני כתב בהחלטותיו לא פעם אחת, בשאלות שהועברו לכונסות שלהן יש אחריות. </w:t>
      </w:r>
    </w:p>
    <w:p w:rsidR="00D54553" w:rsidRDefault="00D54553" w:rsidP="00D54553">
      <w:pPr>
        <w:spacing w:line="360" w:lineRule="auto"/>
        <w:ind w:left="2160"/>
        <w:jc w:val="both"/>
        <w:rPr>
          <w:rFonts w:ascii="David" w:hAnsi="David"/>
          <w:b/>
          <w:bCs/>
          <w:rtl/>
        </w:rPr>
      </w:pPr>
      <w:r>
        <w:rPr>
          <w:rFonts w:ascii="David" w:hAnsi="David"/>
          <w:b/>
          <w:bCs/>
          <w:rtl/>
        </w:rPr>
        <w:t>הכונסות רשמו בקשות במפורש לבימ"ש, שלכן אנחנו פנינו לבימ"ש ובימ"ש אמר ניתנה להם שיקול דעת מקצועית."</w:t>
      </w:r>
    </w:p>
    <w:p w:rsidR="00362E28" w:rsidRDefault="00362E28" w:rsidP="00D54553">
      <w:pPr>
        <w:spacing w:line="360" w:lineRule="auto"/>
        <w:ind w:left="2160"/>
        <w:jc w:val="both"/>
        <w:rPr>
          <w:rFonts w:ascii="David" w:hAnsi="David"/>
          <w:b/>
          <w:bCs/>
          <w:rtl/>
        </w:rPr>
      </w:pPr>
    </w:p>
    <w:p w:rsidR="00D54553" w:rsidRDefault="00362E28" w:rsidP="00D54553">
      <w:pPr>
        <w:spacing w:line="360" w:lineRule="auto"/>
        <w:ind w:left="2160" w:hanging="720"/>
        <w:jc w:val="both"/>
        <w:rPr>
          <w:rFonts w:ascii="David" w:hAnsi="David"/>
          <w:rtl/>
        </w:rPr>
      </w:pPr>
      <w:r>
        <w:rPr>
          <w:rFonts w:hint="cs"/>
          <w:rtl/>
        </w:rPr>
        <w:lastRenderedPageBreak/>
        <w:t>3</w:t>
      </w:r>
      <w:r w:rsidR="00D54553">
        <w:rPr>
          <w:rFonts w:ascii="David" w:hAnsi="David"/>
          <w:rtl/>
        </w:rPr>
        <w:t>.</w:t>
      </w:r>
      <w:r w:rsidR="00D54553">
        <w:rPr>
          <w:rFonts w:ascii="David" w:hAnsi="David"/>
          <w:rtl/>
        </w:rPr>
        <w:tab/>
        <w:t>כפי שנלמד מהתיק התקיים דיון ביום  11.7.2023 הודיעו באות כוח הצדדים לרבות באת כוחו של הנתבע כשהוא באולם "</w:t>
      </w:r>
      <w:r w:rsidR="00D54553">
        <w:rPr>
          <w:rFonts w:ascii="David" w:hAnsi="David"/>
          <w:b/>
          <w:bCs/>
          <w:rtl/>
        </w:rPr>
        <w:t>אנחנו מבקשות להתמנות ככונסות נכסים לפירוק השיתוף בכל הנכסים שימצאו כברי איזון ואנו נעמוד בקשר אחת עם השנייה</w:t>
      </w:r>
      <w:r w:rsidR="00D54553">
        <w:rPr>
          <w:rFonts w:ascii="David" w:hAnsi="David"/>
          <w:rtl/>
        </w:rPr>
        <w:t>" בהחלטה עוקבת לדיון נקבע:</w:t>
      </w:r>
    </w:p>
    <w:p w:rsidR="00D54553" w:rsidRDefault="00D54553" w:rsidP="00D54553">
      <w:pPr>
        <w:spacing w:line="360" w:lineRule="auto"/>
        <w:ind w:left="2160"/>
        <w:jc w:val="both"/>
        <w:rPr>
          <w:rFonts w:ascii="David" w:hAnsi="David"/>
          <w:b/>
          <w:bCs/>
          <w:rtl/>
        </w:rPr>
      </w:pPr>
      <w:r>
        <w:rPr>
          <w:rFonts w:ascii="David" w:hAnsi="David"/>
          <w:rtl/>
        </w:rPr>
        <w:t>"</w:t>
      </w:r>
      <w:r>
        <w:rPr>
          <w:rFonts w:ascii="David" w:hAnsi="David"/>
          <w:b/>
          <w:bCs/>
          <w:rtl/>
        </w:rPr>
        <w:t xml:space="preserve">לאחר ששמעתי את הצדדים אני ממנה את עורכות הדין בלינסון שפרן וגליקסברג רותם ככונסות נכסים לכלל הנכסים הרשומים על שם מי מהצדדים. </w:t>
      </w:r>
    </w:p>
    <w:p w:rsidR="00D54553" w:rsidRDefault="00D54553" w:rsidP="00D54553">
      <w:pPr>
        <w:spacing w:line="360" w:lineRule="auto"/>
        <w:ind w:left="2160"/>
        <w:jc w:val="both"/>
        <w:rPr>
          <w:rFonts w:ascii="David" w:hAnsi="David"/>
          <w:b/>
          <w:bCs/>
        </w:rPr>
      </w:pPr>
      <w:r>
        <w:rPr>
          <w:rFonts w:ascii="David" w:hAnsi="David"/>
          <w:b/>
          <w:bCs/>
          <w:rtl/>
        </w:rPr>
        <w:t xml:space="preserve">בשלב ראשון תירשמנה הערות כינוס על כל הנכסים ותוזמן שמאות מאת השמאית סילביה אלבז מאשדוד על כל הנכסים. </w:t>
      </w:r>
    </w:p>
    <w:p w:rsidR="00D54553" w:rsidRDefault="00D54553" w:rsidP="00D54553">
      <w:pPr>
        <w:spacing w:line="360" w:lineRule="auto"/>
        <w:ind w:left="2160"/>
        <w:jc w:val="both"/>
        <w:rPr>
          <w:rFonts w:ascii="David" w:hAnsi="David"/>
          <w:b/>
          <w:bCs/>
          <w:rtl/>
        </w:rPr>
      </w:pPr>
      <w:r>
        <w:rPr>
          <w:rFonts w:ascii="David" w:hAnsi="David"/>
          <w:b/>
          <w:bCs/>
          <w:rtl/>
        </w:rPr>
        <w:t>כונסות הנכסים תפתחנה חשבון נאמנות אליו יופקדו השכירויות המתקבלות מהנכסים השונים ויחולקו בשלב זה בין הצדדים בחלקים שווים.</w:t>
      </w:r>
    </w:p>
    <w:p w:rsidR="00D54553" w:rsidRDefault="00D54553" w:rsidP="00D54553">
      <w:pPr>
        <w:spacing w:line="360" w:lineRule="auto"/>
        <w:ind w:left="2160"/>
        <w:jc w:val="both"/>
        <w:rPr>
          <w:rFonts w:ascii="David" w:hAnsi="David"/>
          <w:b/>
          <w:bCs/>
          <w:rtl/>
        </w:rPr>
      </w:pPr>
      <w:r>
        <w:rPr>
          <w:rFonts w:ascii="David" w:hAnsi="David"/>
          <w:b/>
          <w:bCs/>
          <w:rtl/>
        </w:rPr>
        <w:t xml:space="preserve">אין באמור כדי הסכמה של מי מהצדדים עם טענות הצד האחר ביחס לזכויות קנייניות בכל אחד מן הנכסים." </w:t>
      </w:r>
      <w:r>
        <w:rPr>
          <w:rFonts w:ascii="David" w:hAnsi="David"/>
          <w:rtl/>
        </w:rPr>
        <w:t>(להלן-</w:t>
      </w:r>
      <w:r>
        <w:rPr>
          <w:rFonts w:ascii="David" w:hAnsi="David"/>
          <w:b/>
          <w:bCs/>
          <w:rtl/>
        </w:rPr>
        <w:t xml:space="preserve"> </w:t>
      </w:r>
      <w:r>
        <w:rPr>
          <w:rFonts w:ascii="Miriam" w:hAnsi="Miriam" w:cs="Miriam"/>
          <w:b/>
          <w:bCs/>
          <w:rtl/>
        </w:rPr>
        <w:t>ההחלטה</w:t>
      </w:r>
      <w:r>
        <w:rPr>
          <w:rFonts w:ascii="David" w:hAnsi="David"/>
          <w:rtl/>
        </w:rPr>
        <w:t>).</w:t>
      </w:r>
      <w:r>
        <w:rPr>
          <w:rFonts w:ascii="David" w:hAnsi="David"/>
          <w:b/>
          <w:bCs/>
          <w:rtl/>
        </w:rPr>
        <w:t xml:space="preserve"> </w:t>
      </w:r>
    </w:p>
    <w:p w:rsidR="00362E28" w:rsidRDefault="00362E28" w:rsidP="00D54553">
      <w:pPr>
        <w:spacing w:line="360" w:lineRule="auto"/>
        <w:ind w:left="2160"/>
        <w:jc w:val="both"/>
        <w:rPr>
          <w:rFonts w:ascii="David" w:hAnsi="David"/>
          <w:b/>
          <w:bCs/>
          <w:rtl/>
        </w:rPr>
      </w:pPr>
    </w:p>
    <w:p w:rsidR="00D54553" w:rsidRDefault="00362E28" w:rsidP="00D54553">
      <w:pPr>
        <w:spacing w:line="360" w:lineRule="auto"/>
        <w:ind w:left="2160" w:hanging="630"/>
        <w:jc w:val="both"/>
        <w:rPr>
          <w:rFonts w:ascii="David" w:hAnsi="David"/>
          <w:rtl/>
        </w:rPr>
      </w:pPr>
      <w:r>
        <w:rPr>
          <w:rFonts w:ascii="David" w:hAnsi="David" w:hint="cs"/>
          <w:rtl/>
        </w:rPr>
        <w:t>4</w:t>
      </w:r>
      <w:r w:rsidR="00D54553">
        <w:rPr>
          <w:rFonts w:ascii="David" w:hAnsi="David"/>
          <w:rtl/>
        </w:rPr>
        <w:t>.</w:t>
      </w:r>
      <w:r w:rsidR="00D54553">
        <w:rPr>
          <w:rFonts w:ascii="David" w:hAnsi="David"/>
          <w:rtl/>
        </w:rPr>
        <w:tab/>
        <w:t xml:space="preserve">החלטה זו התקבלה, כאמור,  בנוכחות הנתבע, כשהוא מיוצג על ידי באת כוחו והמינוי ניתן לבקשת עורכות הדין המייצגות.  ועד לעת הזו לא הוגשה על ידי הנתבע או מי מטעמו או מי מבאי כוחו בקשה מפורשת לביטולה של ההחלטה נהפוך הוא.  </w:t>
      </w:r>
    </w:p>
    <w:p w:rsidR="00362E28" w:rsidRDefault="00362E28" w:rsidP="00D54553">
      <w:pPr>
        <w:spacing w:line="360" w:lineRule="auto"/>
        <w:ind w:left="2160" w:hanging="630"/>
        <w:jc w:val="both"/>
        <w:rPr>
          <w:rFonts w:ascii="David" w:hAnsi="David"/>
          <w:rtl/>
        </w:rPr>
      </w:pPr>
    </w:p>
    <w:p w:rsidR="00D54553" w:rsidRDefault="00D54553" w:rsidP="005349BF">
      <w:pPr>
        <w:spacing w:line="360" w:lineRule="auto"/>
        <w:ind w:left="2160"/>
        <w:jc w:val="both"/>
        <w:rPr>
          <w:rFonts w:ascii="David" w:hAnsi="David"/>
          <w:rtl/>
        </w:rPr>
      </w:pPr>
      <w:r>
        <w:rPr>
          <w:rFonts w:ascii="David" w:hAnsi="David"/>
          <w:rtl/>
        </w:rPr>
        <w:t>ביום 1.2.2024 הוגשה לתיק בקשה להחלפת ייצוג ועו"ד א</w:t>
      </w:r>
      <w:r w:rsidR="005349BF">
        <w:rPr>
          <w:rFonts w:ascii="David" w:hAnsi="David" w:hint="cs"/>
          <w:rtl/>
        </w:rPr>
        <w:t>.</w:t>
      </w:r>
      <w:r>
        <w:rPr>
          <w:rFonts w:ascii="David" w:hAnsi="David"/>
          <w:rtl/>
        </w:rPr>
        <w:t xml:space="preserve"> מונה חלף עורכת דין גליקסברג (שפוטרה ע"י הנתבע) לייצג את הנתבע. ביום 12.2.2024 הגיש  עו"ד א</w:t>
      </w:r>
      <w:r w:rsidR="005349BF">
        <w:rPr>
          <w:rFonts w:ascii="David" w:hAnsi="David" w:hint="cs"/>
          <w:rtl/>
        </w:rPr>
        <w:t>.</w:t>
      </w:r>
      <w:r>
        <w:rPr>
          <w:rFonts w:ascii="David" w:hAnsi="David"/>
          <w:rtl/>
        </w:rPr>
        <w:t xml:space="preserve"> "</w:t>
      </w:r>
      <w:r>
        <w:rPr>
          <w:rFonts w:ascii="David" w:hAnsi="David"/>
          <w:u w:val="single"/>
          <w:rtl/>
        </w:rPr>
        <w:t>בקשה דחופה ביותר למינויו של הח"מ לכונס נכסים</w:t>
      </w:r>
      <w:r>
        <w:rPr>
          <w:rFonts w:ascii="David" w:hAnsi="David"/>
          <w:rtl/>
        </w:rPr>
        <w:t>". בסעיף העתירות עתר "</w:t>
      </w:r>
      <w:r>
        <w:rPr>
          <w:rFonts w:ascii="David" w:hAnsi="David"/>
          <w:b/>
          <w:bCs/>
          <w:rtl/>
        </w:rPr>
        <w:t xml:space="preserve">בנסיבות אלו בית המשפט הנכבד יתבקש לבטל את מינוייה של עו"ד גליקסברג ולמנות במקומה את הח"מ </w:t>
      </w:r>
      <w:r>
        <w:rPr>
          <w:rFonts w:ascii="David" w:hAnsi="David"/>
          <w:b/>
          <w:bCs/>
          <w:u w:val="single"/>
          <w:rtl/>
        </w:rPr>
        <w:t>על כלל הנכסים הרשומים על שם מי מהצדדים</w:t>
      </w:r>
      <w:r>
        <w:rPr>
          <w:rFonts w:ascii="David" w:hAnsi="David"/>
          <w:rtl/>
        </w:rPr>
        <w:t xml:space="preserve">" (הדגש בקו חתי לא במקור). אין בבקשה  הסתייגות מפורשת  או משתמעת מדבר המינוי שחל על כלל הנכסים בשים לב לטענת הנתבע ביחס לנכסים שאינם ברי איזון.  </w:t>
      </w:r>
    </w:p>
    <w:p w:rsidR="00362E28" w:rsidRDefault="00362E28" w:rsidP="00D54553">
      <w:pPr>
        <w:spacing w:line="360" w:lineRule="auto"/>
        <w:ind w:left="2160"/>
        <w:jc w:val="both"/>
        <w:rPr>
          <w:rFonts w:ascii="David" w:hAnsi="David"/>
          <w:rtl/>
        </w:rPr>
      </w:pPr>
    </w:p>
    <w:p w:rsidR="00D54553" w:rsidRDefault="00D54553" w:rsidP="00D54553">
      <w:pPr>
        <w:spacing w:line="360" w:lineRule="auto"/>
        <w:ind w:left="2160" w:hanging="630"/>
        <w:jc w:val="both"/>
        <w:rPr>
          <w:rFonts w:ascii="David" w:hAnsi="David"/>
          <w:rtl/>
        </w:rPr>
      </w:pPr>
      <w:r>
        <w:rPr>
          <w:rFonts w:ascii="David" w:hAnsi="David"/>
          <w:rtl/>
        </w:rPr>
        <w:tab/>
        <w:t>בהחלטתי מיום 28.2.2024  דחיתי את  בקשת ב"כ של הנתבע, בין היתר, מהטעם שכונס נכסים הוא זרועו הארוכה של בית המשפט וכל עוד זוכה הוא לאמונו אין מקום להחליפו. בשולי החלטתי כתבתי "</w:t>
      </w:r>
      <w:r>
        <w:rPr>
          <w:rFonts w:ascii="David" w:hAnsi="David"/>
          <w:b/>
          <w:bCs/>
          <w:rtl/>
        </w:rPr>
        <w:t xml:space="preserve">טול למשל מצב </w:t>
      </w:r>
      <w:r>
        <w:rPr>
          <w:rFonts w:ascii="David" w:hAnsi="David"/>
          <w:b/>
          <w:bCs/>
          <w:rtl/>
        </w:rPr>
        <w:lastRenderedPageBreak/>
        <w:t>היפוטיתי שמחר יקומו חילוקי דעות בין הנתבע לב"כ דהיום או אז שוב יוחלף כונס  נכסים</w:t>
      </w:r>
      <w:r>
        <w:rPr>
          <w:rFonts w:ascii="David" w:hAnsi="David"/>
          <w:rtl/>
        </w:rPr>
        <w:t xml:space="preserve">?" </w:t>
      </w:r>
    </w:p>
    <w:p w:rsidR="00362E28" w:rsidRDefault="00362E28" w:rsidP="00D54553">
      <w:pPr>
        <w:spacing w:line="360" w:lineRule="auto"/>
        <w:ind w:left="2160" w:hanging="630"/>
        <w:jc w:val="both"/>
        <w:rPr>
          <w:rFonts w:ascii="David" w:hAnsi="David"/>
          <w:rtl/>
        </w:rPr>
      </w:pPr>
    </w:p>
    <w:p w:rsidR="00D54553" w:rsidRDefault="00D54553" w:rsidP="00D54553">
      <w:pPr>
        <w:spacing w:line="360" w:lineRule="auto"/>
        <w:ind w:left="2160"/>
        <w:jc w:val="both"/>
        <w:rPr>
          <w:rFonts w:ascii="David" w:hAnsi="David"/>
          <w:rtl/>
        </w:rPr>
      </w:pPr>
      <w:r>
        <w:rPr>
          <w:rFonts w:ascii="David" w:hAnsi="David"/>
          <w:rtl/>
        </w:rPr>
        <w:t>על החלטה זו הוגשה בר"ע לבית המשפט המחוזי אשר נדחתה (</w:t>
      </w:r>
      <w:r>
        <w:rPr>
          <w:rFonts w:ascii="David" w:hAnsi="David"/>
          <w:u w:val="single"/>
          <w:rtl/>
        </w:rPr>
        <w:t>רמ"ש 19446-03-24</w:t>
      </w:r>
      <w:r>
        <w:rPr>
          <w:rFonts w:ascii="David" w:hAnsi="David"/>
          <w:rtl/>
        </w:rPr>
        <w:t>).</w:t>
      </w:r>
    </w:p>
    <w:p w:rsidR="00362E28" w:rsidRDefault="00362E28" w:rsidP="00D54553">
      <w:pPr>
        <w:spacing w:line="360" w:lineRule="auto"/>
        <w:ind w:left="2160"/>
        <w:jc w:val="both"/>
        <w:rPr>
          <w:rFonts w:ascii="David" w:hAnsi="David"/>
          <w:rtl/>
        </w:rPr>
      </w:pPr>
    </w:p>
    <w:p w:rsidR="00D54553" w:rsidRDefault="00362E28" w:rsidP="00D54553">
      <w:pPr>
        <w:spacing w:line="360" w:lineRule="auto"/>
        <w:ind w:left="2160" w:hanging="608"/>
        <w:jc w:val="both"/>
        <w:rPr>
          <w:rFonts w:ascii="David" w:hAnsi="David"/>
          <w:rtl/>
        </w:rPr>
      </w:pPr>
      <w:r>
        <w:rPr>
          <w:rFonts w:ascii="David" w:hAnsi="David" w:hint="cs"/>
          <w:rtl/>
        </w:rPr>
        <w:t>5</w:t>
      </w:r>
      <w:r w:rsidR="00D54553">
        <w:rPr>
          <w:rFonts w:ascii="David" w:hAnsi="David"/>
          <w:rtl/>
        </w:rPr>
        <w:t>.</w:t>
      </w:r>
      <w:r w:rsidR="00D54553">
        <w:rPr>
          <w:rFonts w:ascii="David" w:hAnsi="David"/>
          <w:rtl/>
        </w:rPr>
        <w:tab/>
        <w:t xml:space="preserve">בקשתו של עוה"ד המייצג את הנתבע להתמנות ככונס נכסים על כלל הנכסים מדברת בפני עצמה על שינוי בעמדת הנתב. צא ולמד אם לא כך הוא היה על עורך הדין להגיש בקשה דחופה שונה: לא בקשה להתמנות ככונס נכסים על כל הנכסים הרשומים על שם מי מהצדדים (חרף טענות מרשו לעניין האיזון בנכסים) אלא בקשה דחופה להורות על ביטול  ההחלטה.  </w:t>
      </w:r>
    </w:p>
    <w:p w:rsidR="00D54553" w:rsidRDefault="00D54553" w:rsidP="00D54553">
      <w:pPr>
        <w:spacing w:line="360" w:lineRule="auto"/>
        <w:ind w:left="2160"/>
        <w:jc w:val="both"/>
        <w:rPr>
          <w:rFonts w:ascii="David" w:hAnsi="David"/>
          <w:rtl/>
        </w:rPr>
      </w:pPr>
      <w:r>
        <w:rPr>
          <w:rFonts w:ascii="David" w:hAnsi="David"/>
          <w:rtl/>
        </w:rPr>
        <w:t xml:space="preserve">יישאל אם עומד הנתבע על דעתו שנכס מסוים אינו בר איזון, הוא בבעלותו שלו לשם מה צריך בא כוחו להתמנות ככונס נכסים על אותו נכס? </w:t>
      </w:r>
    </w:p>
    <w:p w:rsidR="00362E28" w:rsidRDefault="00362E28" w:rsidP="00D54553">
      <w:pPr>
        <w:spacing w:line="360" w:lineRule="auto"/>
        <w:ind w:left="2160"/>
        <w:jc w:val="both"/>
        <w:rPr>
          <w:rFonts w:ascii="David" w:hAnsi="David"/>
          <w:rtl/>
        </w:rPr>
      </w:pPr>
    </w:p>
    <w:p w:rsidR="00D54553" w:rsidRDefault="00D54553" w:rsidP="00D54553">
      <w:pPr>
        <w:spacing w:line="360" w:lineRule="auto"/>
        <w:ind w:left="2160" w:hanging="608"/>
        <w:jc w:val="both"/>
        <w:rPr>
          <w:rFonts w:ascii="David" w:hAnsi="David"/>
          <w:rtl/>
        </w:rPr>
      </w:pPr>
      <w:r>
        <w:rPr>
          <w:rFonts w:ascii="David" w:hAnsi="David"/>
          <w:rtl/>
        </w:rPr>
        <w:tab/>
        <w:t xml:space="preserve">ייתכן וטעיתי במתן ההחלטה. דרך המלך הייתה לשנותה להגיש בקשה מידית לביטולה? לעצור את הליכי הכינוס ולא להצטרף אליהם. </w:t>
      </w:r>
    </w:p>
    <w:p w:rsidR="00362E28" w:rsidRDefault="00362E28" w:rsidP="00D54553">
      <w:pPr>
        <w:spacing w:line="360" w:lineRule="auto"/>
        <w:ind w:left="2160" w:hanging="608"/>
        <w:jc w:val="both"/>
        <w:rPr>
          <w:rFonts w:ascii="David" w:hAnsi="David"/>
          <w:rtl/>
        </w:rPr>
      </w:pPr>
    </w:p>
    <w:p w:rsidR="00D54553" w:rsidRDefault="00362E28" w:rsidP="00D54553">
      <w:pPr>
        <w:spacing w:line="360" w:lineRule="auto"/>
        <w:ind w:left="2160" w:hanging="608"/>
        <w:jc w:val="both"/>
        <w:rPr>
          <w:rFonts w:ascii="David" w:hAnsi="David"/>
          <w:rtl/>
        </w:rPr>
      </w:pPr>
      <w:r>
        <w:rPr>
          <w:rFonts w:ascii="David" w:hAnsi="David" w:hint="cs"/>
          <w:rtl/>
        </w:rPr>
        <w:t>6</w:t>
      </w:r>
      <w:r w:rsidR="00D54553">
        <w:rPr>
          <w:rFonts w:ascii="David" w:hAnsi="David"/>
          <w:rtl/>
        </w:rPr>
        <w:t>.</w:t>
      </w:r>
      <w:r w:rsidR="00D54553">
        <w:rPr>
          <w:rFonts w:ascii="David" w:hAnsi="David"/>
          <w:rtl/>
        </w:rPr>
        <w:tab/>
        <w:t>גם עתה, בסבב הבקשות של מייצגו הנוכחי של הנתבע אין בקשה לבטל מפורשות את ההחלטה.  אין די בהגשת התנגדות למכר כזה או אחר.</w:t>
      </w:r>
    </w:p>
    <w:p w:rsidR="00362E28" w:rsidRDefault="00362E28" w:rsidP="00D54553">
      <w:pPr>
        <w:spacing w:line="360" w:lineRule="auto"/>
        <w:ind w:left="2160" w:hanging="608"/>
        <w:jc w:val="both"/>
        <w:rPr>
          <w:rFonts w:ascii="David" w:hAnsi="David"/>
          <w:rtl/>
        </w:rPr>
      </w:pPr>
    </w:p>
    <w:p w:rsidR="00D54553" w:rsidRDefault="00362E28" w:rsidP="00D54553">
      <w:pPr>
        <w:spacing w:line="360" w:lineRule="auto"/>
        <w:ind w:left="2160" w:hanging="608"/>
        <w:jc w:val="both"/>
        <w:rPr>
          <w:rFonts w:ascii="David" w:hAnsi="David"/>
          <w:rtl/>
        </w:rPr>
      </w:pPr>
      <w:r>
        <w:rPr>
          <w:rFonts w:ascii="David" w:hAnsi="David" w:hint="cs"/>
          <w:rtl/>
        </w:rPr>
        <w:t>7</w:t>
      </w:r>
      <w:r w:rsidR="00D54553">
        <w:rPr>
          <w:rFonts w:ascii="David" w:hAnsi="David"/>
          <w:rtl/>
        </w:rPr>
        <w:t>.</w:t>
      </w:r>
      <w:r w:rsidR="00D54553">
        <w:rPr>
          <w:rFonts w:ascii="David" w:hAnsi="David"/>
          <w:rtl/>
        </w:rPr>
        <w:tab/>
        <w:t>יוער שבהחלטה על תגובת ב"כ הנתבע שהגיב לבקשה של כונסות הנכסים לאישור מכר הזכויות הציבוריות ו/או חיוב הנתבע בקנסות" הוריתי ביום 4.4.2024  בין היתר, "</w:t>
      </w:r>
      <w:r w:rsidR="00D54553">
        <w:rPr>
          <w:rFonts w:ascii="David" w:hAnsi="David"/>
          <w:b/>
          <w:bCs/>
          <w:rtl/>
        </w:rPr>
        <w:t>ב"כ הנתבע יבאר האם יש סיבה קונקרטית להתנגדות למכירת הזכויות כפי בקשות כונסות הנכסים בבקשתן</w:t>
      </w:r>
      <w:r w:rsidR="00D54553">
        <w:rPr>
          <w:rFonts w:ascii="David" w:hAnsi="David"/>
          <w:rtl/>
        </w:rPr>
        <w:t>" עובר לכך, לאחר שהוגשו לתיק חוות הדעת של שמאית המקרקעין שמונתה לשום את כלל נכסי הצדדים ללא קשר לאופן רישומם קבעתי ביום 31.10.2023 "</w:t>
      </w:r>
      <w:r w:rsidR="00D54553">
        <w:rPr>
          <w:rFonts w:ascii="David" w:hAnsi="David"/>
          <w:b/>
          <w:bCs/>
          <w:rtl/>
        </w:rPr>
        <w:t>הודעת הצדדים</w:t>
      </w:r>
      <w:r w:rsidR="00D54553">
        <w:rPr>
          <w:rFonts w:ascii="David" w:hAnsi="David"/>
          <w:rtl/>
        </w:rPr>
        <w:t xml:space="preserve"> </w:t>
      </w:r>
      <w:r w:rsidR="00D54553">
        <w:rPr>
          <w:rFonts w:ascii="David" w:hAnsi="David"/>
          <w:b/>
          <w:bCs/>
          <w:rtl/>
        </w:rPr>
        <w:t>על המשך ההליכים בתיק תוגש עד ליום 3/12/23</w:t>
      </w:r>
      <w:r w:rsidR="00D54553">
        <w:rPr>
          <w:rFonts w:ascii="David" w:hAnsi="David"/>
          <w:rtl/>
        </w:rPr>
        <w:t>". ההליכים בתיק נמשכו וכאמור, לא הוגשה בקשה מפורשת לביטול ההחלטה. ההתנהלות מדברת בעד עצמה.</w:t>
      </w:r>
    </w:p>
    <w:p w:rsidR="00362E28" w:rsidRDefault="00362E28" w:rsidP="00D54553">
      <w:pPr>
        <w:spacing w:line="360" w:lineRule="auto"/>
        <w:ind w:left="2160" w:hanging="608"/>
        <w:jc w:val="both"/>
        <w:rPr>
          <w:rFonts w:ascii="David" w:hAnsi="David"/>
          <w:rtl/>
        </w:rPr>
      </w:pPr>
    </w:p>
    <w:p w:rsidR="00D54553" w:rsidRDefault="00D54553" w:rsidP="00362E28">
      <w:pPr>
        <w:ind w:left="720"/>
        <w:rPr>
          <w:rFonts w:ascii="David" w:hAnsi="David"/>
          <w:rtl/>
        </w:rPr>
      </w:pPr>
      <w:r>
        <w:rPr>
          <w:rFonts w:ascii="David" w:hAnsi="David"/>
          <w:rtl/>
        </w:rPr>
        <w:t>ב.</w:t>
      </w:r>
      <w:r>
        <w:rPr>
          <w:rFonts w:ascii="David" w:hAnsi="David"/>
          <w:rtl/>
        </w:rPr>
        <w:tab/>
      </w:r>
      <w:r>
        <w:rPr>
          <w:rFonts w:ascii="David" w:hAnsi="David"/>
          <w:u w:val="single"/>
          <w:rtl/>
        </w:rPr>
        <w:t>כונסות הנכסים ביקשו וקיבלו שכ"ט גבוה מזה המותר על פי תקנות</w:t>
      </w:r>
      <w:r>
        <w:rPr>
          <w:rFonts w:ascii="David" w:hAnsi="David"/>
          <w:rtl/>
        </w:rPr>
        <w:t xml:space="preserve"> :</w:t>
      </w:r>
    </w:p>
    <w:p w:rsidR="00362E28" w:rsidRDefault="00362E28" w:rsidP="00D54553">
      <w:pPr>
        <w:ind w:left="720" w:hanging="720"/>
        <w:rPr>
          <w:rFonts w:ascii="David" w:hAnsi="David"/>
          <w:rtl/>
        </w:rPr>
      </w:pPr>
    </w:p>
    <w:p w:rsidR="00D54553" w:rsidRPr="00362E28" w:rsidRDefault="00D54553" w:rsidP="00362E28">
      <w:pPr>
        <w:pStyle w:val="ad"/>
        <w:numPr>
          <w:ilvl w:val="0"/>
          <w:numId w:val="5"/>
        </w:numPr>
        <w:spacing w:line="360" w:lineRule="auto"/>
        <w:ind w:left="2268" w:hanging="851"/>
        <w:jc w:val="both"/>
        <w:rPr>
          <w:rFonts w:ascii="David" w:hAnsi="David"/>
          <w:rtl/>
        </w:rPr>
      </w:pPr>
      <w:r w:rsidRPr="00362E28">
        <w:rPr>
          <w:rFonts w:ascii="David" w:hAnsi="David"/>
          <w:rtl/>
        </w:rPr>
        <w:t>בדיון טען ב"כ הנתבע: "</w:t>
      </w:r>
      <w:r w:rsidRPr="00362E28">
        <w:rPr>
          <w:rFonts w:ascii="David" w:hAnsi="David"/>
          <w:b/>
          <w:bCs/>
          <w:rtl/>
        </w:rPr>
        <w:t xml:space="preserve">דוגמא נוספת לאבסורד, חוק לענייני משפחה, מגבילים את שכר כונסי נכסים, איפה עזות המצח לבקש שכר יותר ממה </w:t>
      </w:r>
      <w:r w:rsidRPr="00362E28">
        <w:rPr>
          <w:rFonts w:ascii="David" w:hAnsi="David"/>
          <w:b/>
          <w:bCs/>
          <w:rtl/>
        </w:rPr>
        <w:lastRenderedPageBreak/>
        <w:t>שקבוע בחוק. הנתבע לא יודע מה קורה. עד היום הנתבע לא יודע כמה כסף שילם, כמה אחוזים נגבו, מכוח מה נגבו וכמה כסף נכנס</w:t>
      </w:r>
      <w:r w:rsidRPr="00362E28">
        <w:rPr>
          <w:rFonts w:ascii="David" w:hAnsi="David"/>
          <w:rtl/>
        </w:rPr>
        <w:t xml:space="preserve">." כונסות הנכסים השיבו " </w:t>
      </w:r>
      <w:r w:rsidRPr="00362E28">
        <w:rPr>
          <w:rFonts w:ascii="David" w:hAnsi="David"/>
          <w:b/>
          <w:bCs/>
          <w:rtl/>
        </w:rPr>
        <w:t>לגבי מה שחברי אמר שלא ראה החלטות ולא יודע על שכר הטרחה ולמה חולט, אני  חושבת שמן הראוי שיעיין בהחלטות, הכל כתוב. לא נעשה דבר בלי החלטת בימ"ש. גם החילוט  נעשה שלא פועל על פי התנאים.</w:t>
      </w:r>
      <w:r w:rsidRPr="00362E28">
        <w:rPr>
          <w:rFonts w:ascii="David" w:hAnsi="David"/>
          <w:rtl/>
        </w:rPr>
        <w:t>"</w:t>
      </w:r>
    </w:p>
    <w:p w:rsidR="00362E28" w:rsidRPr="00362E28" w:rsidRDefault="00362E28" w:rsidP="00362E28">
      <w:pPr>
        <w:spacing w:line="360" w:lineRule="auto"/>
        <w:ind w:left="720"/>
        <w:jc w:val="both"/>
        <w:rPr>
          <w:rFonts w:ascii="David" w:hAnsi="David"/>
          <w:rtl/>
        </w:rPr>
      </w:pPr>
    </w:p>
    <w:p w:rsidR="00D54553" w:rsidRPr="00362E28" w:rsidRDefault="00362E28" w:rsidP="00362E28">
      <w:pPr>
        <w:spacing w:line="360" w:lineRule="auto"/>
        <w:ind w:left="2160" w:hanging="743"/>
        <w:jc w:val="both"/>
        <w:rPr>
          <w:rFonts w:ascii="David" w:hAnsi="David"/>
          <w:rtl/>
        </w:rPr>
      </w:pPr>
      <w:r w:rsidRPr="00362E28">
        <w:rPr>
          <w:rFonts w:ascii="David" w:hAnsi="David"/>
          <w:rtl/>
        </w:rPr>
        <w:t>2.</w:t>
      </w:r>
      <w:r>
        <w:rPr>
          <w:rFonts w:ascii="David" w:hAnsi="David"/>
          <w:rtl/>
        </w:rPr>
        <w:tab/>
      </w:r>
      <w:r w:rsidR="00D54553" w:rsidRPr="00362E28">
        <w:rPr>
          <w:rFonts w:ascii="David" w:hAnsi="David"/>
          <w:rtl/>
        </w:rPr>
        <w:t xml:space="preserve">באשר לטענה זו של ב"כ של הנתבע יובהר ששכר הטרחה של כונסות הנכסים נקבע ככלל בסופו של ההליך ותשלומי הביניים, גם אם היה ממש בטענותיו, אמורים לקבל ביטוי בפסיקה סופית של שכר הטרחה של כונסות הנכסים. </w:t>
      </w:r>
    </w:p>
    <w:p w:rsidR="00362E28" w:rsidRPr="00362E28" w:rsidRDefault="00362E28" w:rsidP="00362E28">
      <w:pPr>
        <w:ind w:left="1440" w:hanging="615"/>
        <w:rPr>
          <w:rtl/>
        </w:rPr>
      </w:pPr>
    </w:p>
    <w:p w:rsidR="00362E28" w:rsidRPr="00362E28" w:rsidRDefault="00362E28" w:rsidP="00362E28">
      <w:pPr>
        <w:ind w:left="1440" w:hanging="615"/>
        <w:rPr>
          <w:rtl/>
        </w:rPr>
      </w:pPr>
    </w:p>
    <w:p w:rsidR="00D54553" w:rsidRPr="00362E28" w:rsidRDefault="00362E28" w:rsidP="00362E28">
      <w:pPr>
        <w:spacing w:line="360" w:lineRule="auto"/>
        <w:ind w:left="2160" w:hanging="720"/>
        <w:jc w:val="both"/>
        <w:rPr>
          <w:rFonts w:ascii="David" w:hAnsi="David"/>
          <w:rtl/>
        </w:rPr>
      </w:pPr>
      <w:r w:rsidRPr="00362E28">
        <w:rPr>
          <w:rFonts w:ascii="David" w:hAnsi="David" w:hint="cs"/>
          <w:rtl/>
        </w:rPr>
        <w:t>3.</w:t>
      </w:r>
      <w:r>
        <w:rPr>
          <w:rFonts w:ascii="David" w:hAnsi="David"/>
          <w:rtl/>
        </w:rPr>
        <w:tab/>
      </w:r>
      <w:r w:rsidR="00D54553" w:rsidRPr="00362E28">
        <w:rPr>
          <w:rFonts w:ascii="David" w:hAnsi="David"/>
          <w:rtl/>
        </w:rPr>
        <w:t>ב-</w:t>
      </w:r>
      <w:r w:rsidR="00D54553" w:rsidRPr="00362E28">
        <w:rPr>
          <w:rFonts w:ascii="David" w:hAnsi="David"/>
          <w:u w:val="single"/>
          <w:rtl/>
        </w:rPr>
        <w:t>עמ"ש (מרכז) 8585007-23</w:t>
      </w:r>
      <w:r w:rsidR="00D54553" w:rsidRPr="00362E28">
        <w:rPr>
          <w:rFonts w:ascii="David" w:hAnsi="David"/>
          <w:rtl/>
        </w:rPr>
        <w:t xml:space="preserve"> נקבע מפורשות: "</w:t>
      </w:r>
      <w:r w:rsidR="00D54553" w:rsidRPr="00362E28">
        <w:rPr>
          <w:rFonts w:ascii="David" w:hAnsi="David"/>
          <w:b/>
          <w:bCs/>
          <w:rtl/>
        </w:rPr>
        <w:t>אין מניעה לפסיקת שכר טרחה נוסף לכונס נכסים בנוסף לשכר על פי התקנות (...ור' בש"א י-ם) 5813/05 אוסטר נ' כונסת הנכסים, 2008)). זאת במקרה שכונס הנכסים נדרש לביצוע פעולות החורגות מפעולות שגרתיות. כך בפרשת אוסטר נפסק כי חוסר שיתוף פעולה מטעם בעלת הנכס מזכה את הכונס בשכר נוסף</w:t>
      </w:r>
      <w:r w:rsidR="00D54553" w:rsidRPr="00362E28">
        <w:rPr>
          <w:rFonts w:ascii="David" w:hAnsi="David"/>
          <w:rtl/>
        </w:rPr>
        <w:t xml:space="preserve">..." ( </w:t>
      </w:r>
      <w:r w:rsidR="00D54553" w:rsidRPr="00362E28">
        <w:rPr>
          <w:rFonts w:ascii="David" w:hAnsi="David"/>
          <w:u w:val="single"/>
          <w:rtl/>
        </w:rPr>
        <w:t>עמ"ש (מרכז) 8585007-23</w:t>
      </w:r>
      <w:r w:rsidR="00D54553" w:rsidRPr="00362E28">
        <w:rPr>
          <w:rFonts w:ascii="David" w:hAnsi="David"/>
          <w:rtl/>
        </w:rPr>
        <w:t xml:space="preserve"> א.ק. נ' א.פ (26.5.2024) ס' 7 לפסק הדין).  </w:t>
      </w:r>
      <w:r w:rsidR="00D54553" w:rsidRPr="00362E28">
        <w:rPr>
          <w:rFonts w:ascii="David" w:hAnsi="David"/>
          <w:u w:val="single"/>
          <w:rtl/>
        </w:rPr>
        <w:t>הוא המקרה שלפנינו</w:t>
      </w:r>
      <w:r w:rsidR="00D54553" w:rsidRPr="00362E28">
        <w:rPr>
          <w:rFonts w:ascii="David" w:hAnsi="David"/>
          <w:rtl/>
        </w:rPr>
        <w:t xml:space="preserve">. </w:t>
      </w:r>
    </w:p>
    <w:p w:rsidR="00362E28" w:rsidRDefault="00362E28" w:rsidP="00D54553">
      <w:pPr>
        <w:spacing w:line="360" w:lineRule="auto"/>
        <w:ind w:left="1440"/>
        <w:jc w:val="both"/>
        <w:rPr>
          <w:rFonts w:ascii="David" w:hAnsi="David"/>
          <w:rtl/>
        </w:rPr>
      </w:pPr>
    </w:p>
    <w:p w:rsidR="00D54553" w:rsidRDefault="00362E28" w:rsidP="00362E28">
      <w:pPr>
        <w:spacing w:line="360" w:lineRule="auto"/>
        <w:ind w:left="2160" w:hanging="720"/>
        <w:jc w:val="both"/>
        <w:rPr>
          <w:rFonts w:ascii="David" w:hAnsi="David"/>
          <w:rtl/>
        </w:rPr>
      </w:pPr>
      <w:r>
        <w:rPr>
          <w:rFonts w:ascii="David" w:hAnsi="David" w:hint="cs"/>
          <w:rtl/>
        </w:rPr>
        <w:t>4.</w:t>
      </w:r>
      <w:r>
        <w:rPr>
          <w:rFonts w:ascii="David" w:hAnsi="David"/>
          <w:rtl/>
        </w:rPr>
        <w:tab/>
      </w:r>
      <w:r w:rsidR="00D54553">
        <w:rPr>
          <w:rFonts w:ascii="David" w:hAnsi="David"/>
          <w:rtl/>
        </w:rPr>
        <w:t xml:space="preserve">בהקשר זה ראוי להפנות לדברי כונסות הנכסים בדיון ולהודעה ששלח הנתבע לעו"ד גליקסברג שהייתה באת כוחו הראשונה של הנתבע ומשמשת ככונסת נכסים המדברת בעד עצמה (פרוטוקול עמ' 17 ש' 19-11). </w:t>
      </w:r>
    </w:p>
    <w:p w:rsidR="00362E28" w:rsidRDefault="00362E28" w:rsidP="00D54553">
      <w:pPr>
        <w:spacing w:line="360" w:lineRule="auto"/>
        <w:ind w:left="1440"/>
        <w:jc w:val="both"/>
        <w:rPr>
          <w:rFonts w:ascii="David" w:hAnsi="David"/>
          <w:rtl/>
        </w:rPr>
      </w:pPr>
    </w:p>
    <w:p w:rsidR="00362E28" w:rsidRPr="00362E28" w:rsidRDefault="00362E28" w:rsidP="00362E28">
      <w:pPr>
        <w:spacing w:line="360" w:lineRule="auto"/>
        <w:ind w:left="720" w:firstLine="720"/>
        <w:jc w:val="both"/>
        <w:rPr>
          <w:rFonts w:ascii="David" w:hAnsi="David"/>
          <w:rtl/>
        </w:rPr>
      </w:pPr>
      <w:r>
        <w:rPr>
          <w:rFonts w:ascii="David" w:hAnsi="David" w:hint="cs"/>
          <w:rtl/>
        </w:rPr>
        <w:t>5.</w:t>
      </w:r>
      <w:r>
        <w:rPr>
          <w:rFonts w:ascii="David" w:hAnsi="David"/>
          <w:rtl/>
        </w:rPr>
        <w:tab/>
      </w:r>
      <w:r w:rsidRPr="00362E28">
        <w:rPr>
          <w:rFonts w:ascii="David" w:hAnsi="David" w:hint="cs"/>
          <w:rtl/>
        </w:rPr>
        <w:t>טענות הנתבע בעניין זה נדחות.</w:t>
      </w:r>
    </w:p>
    <w:p w:rsidR="00362E28" w:rsidRDefault="00362E28" w:rsidP="00D54553">
      <w:pPr>
        <w:spacing w:line="360" w:lineRule="auto"/>
        <w:ind w:left="1440"/>
        <w:jc w:val="both"/>
        <w:rPr>
          <w:rFonts w:ascii="David" w:hAnsi="David"/>
          <w:rtl/>
        </w:rPr>
      </w:pPr>
    </w:p>
    <w:p w:rsidR="00D54553" w:rsidRDefault="00D54553" w:rsidP="00D54553">
      <w:pPr>
        <w:spacing w:line="360" w:lineRule="auto"/>
        <w:ind w:left="1552" w:hanging="850"/>
        <w:jc w:val="both"/>
        <w:rPr>
          <w:rFonts w:ascii="David" w:hAnsi="David"/>
          <w:rtl/>
        </w:rPr>
      </w:pPr>
      <w:r>
        <w:rPr>
          <w:rFonts w:ascii="David" w:hAnsi="David"/>
          <w:rtl/>
        </w:rPr>
        <w:t>ג.</w:t>
      </w:r>
      <w:r>
        <w:rPr>
          <w:rFonts w:ascii="David" w:hAnsi="David"/>
          <w:rtl/>
        </w:rPr>
        <w:tab/>
      </w:r>
      <w:r>
        <w:rPr>
          <w:rFonts w:ascii="David" w:hAnsi="David"/>
          <w:u w:val="single"/>
          <w:rtl/>
        </w:rPr>
        <w:t>הליך הכינוס חל על נכסים שאינם ברי איזון</w:t>
      </w:r>
      <w:r>
        <w:rPr>
          <w:rFonts w:ascii="David" w:hAnsi="David"/>
          <w:rtl/>
        </w:rPr>
        <w:t>:</w:t>
      </w:r>
    </w:p>
    <w:p w:rsidR="00362E28" w:rsidRDefault="00362E28" w:rsidP="00D54553">
      <w:pPr>
        <w:spacing w:line="360" w:lineRule="auto"/>
        <w:ind w:left="1552" w:hanging="850"/>
        <w:jc w:val="both"/>
        <w:rPr>
          <w:rFonts w:ascii="David" w:hAnsi="David"/>
          <w:rtl/>
        </w:rPr>
      </w:pPr>
    </w:p>
    <w:p w:rsidR="00D54553" w:rsidRDefault="00D54553" w:rsidP="00D54553">
      <w:pPr>
        <w:spacing w:line="360" w:lineRule="auto"/>
        <w:ind w:left="2160" w:hanging="528"/>
        <w:jc w:val="both"/>
        <w:rPr>
          <w:rFonts w:ascii="David" w:hAnsi="David"/>
          <w:rtl/>
        </w:rPr>
      </w:pPr>
      <w:r>
        <w:rPr>
          <w:rFonts w:ascii="David" w:hAnsi="David"/>
          <w:rtl/>
        </w:rPr>
        <w:t>1.</w:t>
      </w:r>
      <w:r>
        <w:rPr>
          <w:rFonts w:ascii="David" w:hAnsi="David"/>
          <w:rtl/>
        </w:rPr>
        <w:tab/>
        <w:t xml:space="preserve">הבהרתי לעיל שהסכמת הנתבע למינוי כונסות הנכסים על כלל הנכסים, ובקשת בא כוחו שהצטרף לתיק לאחר המינוי, אי הגשת בר"ע לבית המשפט המחוזי, או בקשה מפורשת  לביטול ההחלטה מעידה ההפך מטענה זו. אבהיר, אין די לבקש בשולי בקשה זו או אחרת ביחס להליך מכר של נכס זה או אחר להתנגד למכר או לבקש לקבוע את התיק-היה צורך לבקש את ביטול ההחלטה וזאת חרף הקבוע בהחלטה והדברים מקל וחומר שטיעוני הנתבע </w:t>
      </w:r>
      <w:r>
        <w:rPr>
          <w:rFonts w:ascii="David" w:hAnsi="David"/>
          <w:rtl/>
        </w:rPr>
        <w:lastRenderedPageBreak/>
        <w:t xml:space="preserve">באשר למה שנחזה בעיניו כמסביר את טענתו לאי איזון משתנה מפעם לפעם.  </w:t>
      </w:r>
      <w:r>
        <w:rPr>
          <w:rFonts w:ascii="David" w:hAnsi="David"/>
          <w:rtl/>
        </w:rPr>
        <w:tab/>
      </w:r>
    </w:p>
    <w:p w:rsidR="00D54553" w:rsidRDefault="00D54553" w:rsidP="00D54553">
      <w:pPr>
        <w:spacing w:line="360" w:lineRule="auto"/>
        <w:ind w:left="1410" w:hanging="708"/>
        <w:jc w:val="both"/>
        <w:rPr>
          <w:rFonts w:ascii="David" w:hAnsi="David"/>
          <w:rtl/>
        </w:rPr>
      </w:pPr>
      <w:r>
        <w:rPr>
          <w:rFonts w:ascii="David" w:hAnsi="David"/>
          <w:rtl/>
        </w:rPr>
        <w:t xml:space="preserve">    ד.</w:t>
      </w:r>
      <w:r>
        <w:rPr>
          <w:rFonts w:ascii="David" w:hAnsi="David"/>
          <w:rtl/>
        </w:rPr>
        <w:tab/>
      </w:r>
      <w:r>
        <w:rPr>
          <w:rFonts w:ascii="David" w:hAnsi="David"/>
          <w:u w:val="single"/>
          <w:rtl/>
        </w:rPr>
        <w:t>כונסות הנכסים  ביקשו למכור לבנם של הצדדים חרף הסכמת הצדדים על הענקתו לבן ללא תמורה</w:t>
      </w:r>
      <w:r>
        <w:rPr>
          <w:rFonts w:ascii="David" w:hAnsi="David"/>
          <w:rtl/>
        </w:rPr>
        <w:t xml:space="preserve">: </w:t>
      </w:r>
    </w:p>
    <w:p w:rsidR="00362E28" w:rsidRDefault="00362E28" w:rsidP="00D54553">
      <w:pPr>
        <w:spacing w:line="360" w:lineRule="auto"/>
        <w:ind w:left="1410" w:hanging="708"/>
        <w:jc w:val="both"/>
        <w:rPr>
          <w:rFonts w:ascii="David" w:hAnsi="David"/>
          <w:rtl/>
        </w:rPr>
      </w:pPr>
    </w:p>
    <w:p w:rsidR="00D54553" w:rsidRDefault="00D54553" w:rsidP="00D54553">
      <w:pPr>
        <w:spacing w:line="360" w:lineRule="auto"/>
        <w:ind w:left="2160" w:hanging="750"/>
        <w:jc w:val="both"/>
        <w:rPr>
          <w:rFonts w:ascii="David" w:hAnsi="David"/>
          <w:b/>
          <w:bCs/>
          <w:rtl/>
        </w:rPr>
      </w:pPr>
      <w:r>
        <w:rPr>
          <w:rFonts w:ascii="David" w:hAnsi="David"/>
          <w:rtl/>
        </w:rPr>
        <w:t>1.</w:t>
      </w:r>
      <w:r>
        <w:rPr>
          <w:rFonts w:ascii="David" w:hAnsi="David"/>
          <w:rtl/>
        </w:rPr>
        <w:tab/>
        <w:t>"</w:t>
      </w:r>
      <w:r>
        <w:rPr>
          <w:rtl/>
        </w:rPr>
        <w:t xml:space="preserve"> </w:t>
      </w:r>
      <w:r>
        <w:rPr>
          <w:rFonts w:ascii="David" w:hAnsi="David"/>
          <w:b/>
          <w:bCs/>
          <w:rtl/>
        </w:rPr>
        <w:t>דוגמא נוספת אדוני, שאני למד ממנה בעקבות הבקשות שהוגשו גם באופן ידני על ידי הצדדים והתובעת בעצמה, הנכס שנמכר לבן. אני מזכיר מדובר על הליכי כינוס שמטרתה היחידה היא הצלחת הצדדים, אין צדדים שלישיים שצריך לדאוג להם. אלא רק לצדדים על ידי באי כוחם.</w:t>
      </w:r>
    </w:p>
    <w:p w:rsidR="00D54553" w:rsidRDefault="00D54553" w:rsidP="00D54553">
      <w:pPr>
        <w:spacing w:line="360" w:lineRule="auto"/>
        <w:ind w:left="2160"/>
        <w:jc w:val="both"/>
        <w:rPr>
          <w:rFonts w:ascii="David" w:hAnsi="David"/>
          <w:b/>
          <w:bCs/>
          <w:rtl/>
        </w:rPr>
      </w:pPr>
      <w:r>
        <w:rPr>
          <w:rFonts w:ascii="David" w:hAnsi="David"/>
          <w:b/>
          <w:bCs/>
          <w:rtl/>
        </w:rPr>
        <w:t xml:space="preserve">הבן מבקש לרכוש את הנכס בהעברה ללא תמורה. לא יודע מה קורה, כי כאשר ביקשתי לא קיבלתי התייחסות. </w:t>
      </w:r>
    </w:p>
    <w:p w:rsidR="00D54553" w:rsidRDefault="00D54553" w:rsidP="00D54553">
      <w:pPr>
        <w:spacing w:line="360" w:lineRule="auto"/>
        <w:ind w:left="2160"/>
        <w:jc w:val="both"/>
        <w:rPr>
          <w:rFonts w:ascii="David" w:hAnsi="David"/>
          <w:b/>
          <w:bCs/>
          <w:rtl/>
        </w:rPr>
      </w:pPr>
      <w:r>
        <w:rPr>
          <w:rFonts w:ascii="David" w:hAnsi="David"/>
          <w:b/>
          <w:bCs/>
          <w:rtl/>
        </w:rPr>
        <w:t>בסופו של יום, הבן היה צריך לבוא ולהשתתף בהתמכרות ולשים כסף, כשאומרים שזה שלהם ורוצים לתת לו במתנה, למה, כדי לגבות שכר טרחה?</w:t>
      </w:r>
    </w:p>
    <w:p w:rsidR="00D54553" w:rsidRDefault="00D54553" w:rsidP="00D54553">
      <w:pPr>
        <w:spacing w:line="360" w:lineRule="auto"/>
        <w:ind w:left="2160"/>
        <w:jc w:val="both"/>
        <w:rPr>
          <w:rFonts w:asciiTheme="minorHAnsi" w:hAnsiTheme="minorHAnsi" w:cstheme="minorBidi"/>
          <w:sz w:val="22"/>
          <w:szCs w:val="22"/>
          <w:rtl/>
        </w:rPr>
      </w:pPr>
      <w:r>
        <w:rPr>
          <w:rFonts w:ascii="David" w:hAnsi="David"/>
          <w:b/>
          <w:bCs/>
          <w:rtl/>
        </w:rPr>
        <w:t>לשאלת בימ"ש מתי היה התהליך הזה שאמרו שרוצים שהילד יקנה את הנכס, אני משיב, שאין לי תאריך אבל זה בסמוך למכירה. אציין שאני ניזון מהנתבע שלא היה נוכח. אסביר למה. הוא לא היה בהתמכרות. הוא לא ידע</w:t>
      </w:r>
      <w:r>
        <w:rPr>
          <w:rtl/>
        </w:rPr>
        <w:t>.</w:t>
      </w:r>
    </w:p>
    <w:p w:rsidR="00362E28" w:rsidRDefault="00362E28" w:rsidP="00D54553">
      <w:pPr>
        <w:spacing w:line="360" w:lineRule="auto"/>
        <w:ind w:left="2160"/>
        <w:jc w:val="both"/>
        <w:rPr>
          <w:rFonts w:asciiTheme="minorHAnsi" w:hAnsiTheme="minorHAnsi" w:cstheme="minorBidi"/>
          <w:sz w:val="22"/>
          <w:szCs w:val="22"/>
          <w:rtl/>
        </w:rPr>
      </w:pPr>
    </w:p>
    <w:p w:rsidR="00D54553" w:rsidRDefault="00D54553" w:rsidP="005349BF">
      <w:pPr>
        <w:spacing w:line="360" w:lineRule="auto"/>
        <w:ind w:left="2160" w:hanging="750"/>
        <w:jc w:val="both"/>
        <w:rPr>
          <w:rFonts w:ascii="David" w:hAnsi="David"/>
          <w:b/>
          <w:bCs/>
          <w:rtl/>
        </w:rPr>
      </w:pPr>
      <w:r>
        <w:rPr>
          <w:rFonts w:ascii="David" w:hAnsi="David"/>
          <w:rtl/>
        </w:rPr>
        <w:t>2.</w:t>
      </w:r>
      <w:r>
        <w:rPr>
          <w:rFonts w:ascii="David" w:hAnsi="David"/>
          <w:rtl/>
        </w:rPr>
        <w:tab/>
        <w:t>על כך השיבו כונסות הנכסים "</w:t>
      </w:r>
      <w:r>
        <w:rPr>
          <w:rtl/>
        </w:rPr>
        <w:t xml:space="preserve"> </w:t>
      </w:r>
      <w:r>
        <w:rPr>
          <w:rFonts w:ascii="David" w:hAnsi="David"/>
          <w:b/>
          <w:bCs/>
          <w:rtl/>
        </w:rPr>
        <w:t>הבן א</w:t>
      </w:r>
      <w:r w:rsidR="005349BF">
        <w:rPr>
          <w:rFonts w:ascii="David" w:hAnsi="David" w:hint="cs"/>
          <w:b/>
          <w:bCs/>
          <w:rtl/>
        </w:rPr>
        <w:t>.</w:t>
      </w:r>
      <w:r>
        <w:rPr>
          <w:rFonts w:ascii="David" w:hAnsi="David"/>
          <w:b/>
          <w:bCs/>
          <w:rtl/>
        </w:rPr>
        <w:t xml:space="preserve"> הגיע להתמכרות וסיפר שרק אמו  מוותר לו על חלקה בנכס. גם סיפר שאביו מוכן שהוא ירכוש במחיר הכי גבוה שניתן על פי השומה. כלומר, את החלק שלו מחצית מזכויות הדירה. אמרתי שאין בעיה שאם האם מוותרת גם הוא צריך להיות בהתמכרות, כדי שהכל יהיה בפרוט' מסודר. כאשר הוא יצא בתום ההתמכרות, ישר קשר עם אביו, ואנחנו למדים מבקשות שהוגשו, האב ויתר על הסכום הכספי, כך שבסופו של יום זו העברה בלא תמורה.</w:t>
      </w:r>
    </w:p>
    <w:p w:rsidR="00D54553" w:rsidRDefault="00D54553" w:rsidP="005349BF">
      <w:pPr>
        <w:spacing w:line="360" w:lineRule="auto"/>
        <w:ind w:left="2160"/>
        <w:jc w:val="both"/>
        <w:rPr>
          <w:rFonts w:asciiTheme="minorHAnsi" w:hAnsiTheme="minorHAnsi" w:cstheme="minorBidi"/>
          <w:sz w:val="22"/>
          <w:szCs w:val="22"/>
          <w:rtl/>
        </w:rPr>
      </w:pPr>
      <w:r>
        <w:rPr>
          <w:rFonts w:ascii="David" w:hAnsi="David"/>
          <w:b/>
          <w:bCs/>
          <w:rtl/>
        </w:rPr>
        <w:t>אמרנו לא</w:t>
      </w:r>
      <w:r w:rsidR="005349BF">
        <w:rPr>
          <w:rFonts w:ascii="David" w:hAnsi="David" w:hint="cs"/>
          <w:b/>
          <w:bCs/>
          <w:rtl/>
        </w:rPr>
        <w:t>.</w:t>
      </w:r>
      <w:r>
        <w:rPr>
          <w:rFonts w:ascii="David" w:hAnsi="David"/>
          <w:b/>
          <w:bCs/>
          <w:rtl/>
        </w:rPr>
        <w:t xml:space="preserve"> שאף אחד לא יעמוד בדרכו וזה לגיטימי והוא בא למשרדי וקיבל את הכסף בחזרה. אמרנו כי על אף שמדובר בהעברה ועסקת מתנה, יכול ותהיה בזאת איזה חבות ויהיו ערים לדבר, ואנחנו מעבירות אל כל עניין המיסוי כן ולא ו כמה למומחה שמונה על ידי בימ"ש</w:t>
      </w:r>
      <w:r>
        <w:rPr>
          <w:rtl/>
        </w:rPr>
        <w:t>."</w:t>
      </w:r>
    </w:p>
    <w:p w:rsidR="00362E28" w:rsidRDefault="00362E28" w:rsidP="00D54553">
      <w:pPr>
        <w:spacing w:line="360" w:lineRule="auto"/>
        <w:ind w:left="2160"/>
        <w:jc w:val="both"/>
        <w:rPr>
          <w:rFonts w:asciiTheme="minorHAnsi" w:hAnsiTheme="minorHAnsi" w:cstheme="minorBidi"/>
          <w:sz w:val="22"/>
          <w:szCs w:val="22"/>
        </w:rPr>
      </w:pPr>
    </w:p>
    <w:p w:rsidR="00D54553" w:rsidRPr="00136CFF" w:rsidRDefault="00136CFF" w:rsidP="00136CFF">
      <w:pPr>
        <w:spacing w:line="360" w:lineRule="auto"/>
        <w:ind w:left="2160" w:hanging="750"/>
        <w:jc w:val="both"/>
        <w:rPr>
          <w:rFonts w:ascii="David" w:hAnsi="David"/>
          <w:rtl/>
        </w:rPr>
      </w:pPr>
      <w:r w:rsidRPr="00136CFF">
        <w:rPr>
          <w:rFonts w:ascii="David" w:hAnsi="David"/>
          <w:rtl/>
        </w:rPr>
        <w:lastRenderedPageBreak/>
        <w:t>3.</w:t>
      </w:r>
      <w:r>
        <w:rPr>
          <w:rFonts w:ascii="David" w:hAnsi="David"/>
          <w:rtl/>
        </w:rPr>
        <w:tab/>
      </w:r>
      <w:r w:rsidR="00D54553" w:rsidRPr="00136CFF">
        <w:rPr>
          <w:rFonts w:ascii="David" w:hAnsi="David"/>
          <w:rtl/>
        </w:rPr>
        <w:t>לו היה הנתבע משתף פעולה עם כונסות הנכסים גם בעניין זה מלכתחילה ומודיע להן על הסכמתו והיה נמנע הצורך מלדון בכך כפי שעולה מדברי כונסות הנכסים שאין לי סיבה לפקפק באמינותם.</w:t>
      </w:r>
    </w:p>
    <w:p w:rsidR="00136CFF" w:rsidRDefault="00136CFF" w:rsidP="00136CFF">
      <w:pPr>
        <w:ind w:left="2160" w:hanging="750"/>
        <w:rPr>
          <w:rtl/>
        </w:rPr>
      </w:pPr>
    </w:p>
    <w:p w:rsidR="00136CFF" w:rsidRPr="00136CFF" w:rsidRDefault="00136CFF" w:rsidP="00136CFF">
      <w:pPr>
        <w:ind w:left="2160" w:hanging="750"/>
        <w:rPr>
          <w:rtl/>
        </w:rPr>
      </w:pPr>
      <w:r>
        <w:rPr>
          <w:rFonts w:hint="cs"/>
          <w:rtl/>
        </w:rPr>
        <w:t>4.</w:t>
      </w:r>
      <w:r>
        <w:rPr>
          <w:rtl/>
        </w:rPr>
        <w:tab/>
      </w:r>
      <w:r>
        <w:rPr>
          <w:rFonts w:hint="cs"/>
          <w:rtl/>
        </w:rPr>
        <w:t>טענות הנתבע בעניין זה כדילהעיד על כשל בהתנהלות כונסות הנכסים נדחה.</w:t>
      </w:r>
    </w:p>
    <w:p w:rsidR="00136CFF" w:rsidRDefault="00136CFF" w:rsidP="00D54553">
      <w:pPr>
        <w:spacing w:line="360" w:lineRule="auto"/>
        <w:ind w:left="1410" w:hanging="1275"/>
        <w:jc w:val="both"/>
        <w:rPr>
          <w:rFonts w:ascii="David" w:hAnsi="David"/>
          <w:b/>
          <w:bCs/>
          <w:u w:val="single"/>
          <w:rtl/>
        </w:rPr>
      </w:pPr>
    </w:p>
    <w:p w:rsidR="00D54553" w:rsidRDefault="00D54553" w:rsidP="00D54553">
      <w:pPr>
        <w:spacing w:line="360" w:lineRule="auto"/>
        <w:ind w:left="1410" w:hanging="1275"/>
        <w:jc w:val="both"/>
        <w:rPr>
          <w:rFonts w:ascii="David" w:hAnsi="David"/>
          <w:b/>
          <w:bCs/>
          <w:rtl/>
        </w:rPr>
      </w:pPr>
      <w:r>
        <w:rPr>
          <w:rFonts w:ascii="David" w:hAnsi="David"/>
          <w:b/>
          <w:bCs/>
          <w:u w:val="single"/>
          <w:rtl/>
        </w:rPr>
        <w:t>החלטה</w:t>
      </w:r>
      <w:r>
        <w:rPr>
          <w:rFonts w:ascii="David" w:hAnsi="David"/>
          <w:b/>
          <w:bCs/>
          <w:rtl/>
        </w:rPr>
        <w:t>:</w:t>
      </w:r>
    </w:p>
    <w:p w:rsidR="00136CFF" w:rsidRDefault="00136CFF" w:rsidP="00D54553">
      <w:pPr>
        <w:spacing w:line="360" w:lineRule="auto"/>
        <w:ind w:left="1410" w:hanging="1275"/>
        <w:jc w:val="both"/>
        <w:rPr>
          <w:rFonts w:ascii="David" w:hAnsi="David"/>
          <w:b/>
          <w:bCs/>
          <w:rtl/>
        </w:rPr>
      </w:pPr>
    </w:p>
    <w:p w:rsidR="00D54553" w:rsidRDefault="00D54553" w:rsidP="00D54553">
      <w:pPr>
        <w:spacing w:line="360" w:lineRule="auto"/>
        <w:ind w:left="702" w:hanging="709"/>
        <w:jc w:val="both"/>
        <w:rPr>
          <w:rFonts w:ascii="David" w:hAnsi="David"/>
          <w:rtl/>
        </w:rPr>
      </w:pPr>
      <w:r>
        <w:rPr>
          <w:rFonts w:ascii="David" w:hAnsi="David"/>
          <w:rtl/>
        </w:rPr>
        <w:t xml:space="preserve">5. </w:t>
      </w:r>
      <w:r>
        <w:rPr>
          <w:rFonts w:ascii="David" w:hAnsi="David"/>
          <w:rtl/>
        </w:rPr>
        <w:tab/>
        <w:t>לאחר ששקלתי את הדברים שנאמרו בדיון ועל בסיס החומר שלפני אני מורה לכונסות הנכסים כדלקמן:</w:t>
      </w:r>
    </w:p>
    <w:p w:rsidR="00136CFF" w:rsidRDefault="00136CFF" w:rsidP="00D54553">
      <w:pPr>
        <w:spacing w:line="360" w:lineRule="auto"/>
        <w:ind w:left="702" w:hanging="709"/>
        <w:jc w:val="both"/>
        <w:rPr>
          <w:rFonts w:ascii="David" w:hAnsi="David"/>
          <w:rtl/>
        </w:rPr>
      </w:pPr>
    </w:p>
    <w:p w:rsidR="00D54553" w:rsidRPr="00136CFF" w:rsidRDefault="00136CFF" w:rsidP="00136CFF">
      <w:pPr>
        <w:spacing w:line="360" w:lineRule="auto"/>
        <w:ind w:left="702"/>
        <w:jc w:val="both"/>
        <w:rPr>
          <w:rFonts w:ascii="David" w:hAnsi="David"/>
          <w:rtl/>
        </w:rPr>
      </w:pPr>
      <w:r w:rsidRPr="00136CFF">
        <w:rPr>
          <w:rFonts w:ascii="David" w:hAnsi="David"/>
          <w:rtl/>
        </w:rPr>
        <w:t>א.</w:t>
      </w:r>
      <w:r>
        <w:rPr>
          <w:rFonts w:ascii="David" w:hAnsi="David"/>
          <w:rtl/>
        </w:rPr>
        <w:tab/>
      </w:r>
      <w:r w:rsidR="00D54553" w:rsidRPr="00136CFF">
        <w:rPr>
          <w:rFonts w:ascii="David" w:hAnsi="David"/>
          <w:rtl/>
        </w:rPr>
        <w:t xml:space="preserve">להשהות, בשלב זה, את  מהמשך הליכי הכינוס ביחס לשני נכסים: </w:t>
      </w:r>
    </w:p>
    <w:p w:rsidR="00136CFF" w:rsidRPr="00136CFF" w:rsidRDefault="00136CFF" w:rsidP="00136CFF">
      <w:pPr>
        <w:ind w:left="702"/>
        <w:rPr>
          <w:rtl/>
        </w:rPr>
      </w:pPr>
    </w:p>
    <w:p w:rsidR="00D54553" w:rsidRDefault="00D54553" w:rsidP="005349BF">
      <w:pPr>
        <w:spacing w:line="360" w:lineRule="auto"/>
        <w:ind w:left="2130" w:hanging="720"/>
        <w:jc w:val="both"/>
        <w:rPr>
          <w:rFonts w:ascii="David" w:hAnsi="David"/>
          <w:rtl/>
        </w:rPr>
      </w:pPr>
      <w:r>
        <w:rPr>
          <w:rFonts w:ascii="David" w:hAnsi="David"/>
          <w:rtl/>
        </w:rPr>
        <w:t>1.</w:t>
      </w:r>
      <w:r>
        <w:rPr>
          <w:rFonts w:ascii="David" w:hAnsi="David"/>
          <w:rtl/>
        </w:rPr>
        <w:tab/>
        <w:t xml:space="preserve">הדירה בשד' </w:t>
      </w:r>
      <w:r w:rsidR="005349BF">
        <w:rPr>
          <w:rFonts w:ascii="David" w:hAnsi="David" w:hint="cs"/>
        </w:rPr>
        <w:t>XXX</w:t>
      </w:r>
      <w:r>
        <w:rPr>
          <w:rFonts w:ascii="David" w:hAnsi="David"/>
          <w:rtl/>
        </w:rPr>
        <w:t xml:space="preserve"> </w:t>
      </w:r>
      <w:r w:rsidR="005349BF">
        <w:rPr>
          <w:rFonts w:ascii="David" w:hAnsi="David" w:hint="cs"/>
        </w:rPr>
        <w:t>Y</w:t>
      </w:r>
      <w:r>
        <w:rPr>
          <w:rFonts w:ascii="David" w:hAnsi="David"/>
          <w:rtl/>
        </w:rPr>
        <w:t>/</w:t>
      </w:r>
      <w:r w:rsidR="005349BF">
        <w:rPr>
          <w:rFonts w:ascii="David" w:hAnsi="David" w:hint="cs"/>
        </w:rPr>
        <w:t>Y</w:t>
      </w:r>
      <w:r>
        <w:rPr>
          <w:rFonts w:ascii="David" w:hAnsi="David"/>
          <w:rtl/>
        </w:rPr>
        <w:t xml:space="preserve"> ב</w:t>
      </w:r>
      <w:r w:rsidR="005349BF">
        <w:rPr>
          <w:rFonts w:ascii="David" w:hAnsi="David" w:hint="cs"/>
          <w:rtl/>
        </w:rPr>
        <w:t xml:space="preserve"> - </w:t>
      </w:r>
      <w:r w:rsidR="005349BF">
        <w:rPr>
          <w:rFonts w:ascii="David" w:hAnsi="David" w:hint="cs"/>
        </w:rPr>
        <w:t>XXX</w:t>
      </w:r>
      <w:r>
        <w:rPr>
          <w:rFonts w:ascii="David" w:hAnsi="David"/>
          <w:rtl/>
        </w:rPr>
        <w:t>.</w:t>
      </w:r>
    </w:p>
    <w:p w:rsidR="005349BF" w:rsidRDefault="00D54553" w:rsidP="005349BF">
      <w:pPr>
        <w:spacing w:line="360" w:lineRule="auto"/>
        <w:ind w:left="2130" w:hanging="720"/>
        <w:jc w:val="both"/>
        <w:rPr>
          <w:rFonts w:ascii="David" w:hAnsi="David"/>
          <w:rtl/>
        </w:rPr>
      </w:pPr>
      <w:r>
        <w:rPr>
          <w:rFonts w:ascii="David" w:hAnsi="David"/>
          <w:rtl/>
        </w:rPr>
        <w:t>2.</w:t>
      </w:r>
      <w:r>
        <w:rPr>
          <w:rFonts w:ascii="David" w:hAnsi="David"/>
          <w:rtl/>
        </w:rPr>
        <w:tab/>
        <w:t xml:space="preserve">הדירה ברח' </w:t>
      </w:r>
      <w:r w:rsidR="005349BF">
        <w:rPr>
          <w:rFonts w:ascii="David" w:hAnsi="David" w:hint="cs"/>
        </w:rPr>
        <w:t>XXX</w:t>
      </w:r>
      <w:r w:rsidR="005349BF">
        <w:rPr>
          <w:rFonts w:ascii="David" w:hAnsi="David"/>
          <w:rtl/>
        </w:rPr>
        <w:t xml:space="preserve"> </w:t>
      </w:r>
      <w:r w:rsidR="005349BF">
        <w:rPr>
          <w:rFonts w:ascii="David" w:hAnsi="David" w:hint="cs"/>
        </w:rPr>
        <w:t>Y</w:t>
      </w:r>
      <w:r w:rsidR="005349BF">
        <w:rPr>
          <w:rFonts w:ascii="David" w:hAnsi="David"/>
          <w:rtl/>
        </w:rPr>
        <w:t>/</w:t>
      </w:r>
      <w:r w:rsidR="005349BF">
        <w:rPr>
          <w:rFonts w:ascii="David" w:hAnsi="David" w:hint="cs"/>
        </w:rPr>
        <w:t>Y</w:t>
      </w:r>
      <w:r w:rsidR="005349BF">
        <w:rPr>
          <w:rFonts w:ascii="David" w:hAnsi="David"/>
          <w:rtl/>
        </w:rPr>
        <w:t xml:space="preserve"> ב</w:t>
      </w:r>
      <w:r w:rsidR="005349BF">
        <w:rPr>
          <w:rFonts w:ascii="David" w:hAnsi="David" w:hint="cs"/>
          <w:rtl/>
        </w:rPr>
        <w:t xml:space="preserve"> - </w:t>
      </w:r>
      <w:r w:rsidR="005349BF">
        <w:rPr>
          <w:rFonts w:ascii="David" w:hAnsi="David" w:hint="cs"/>
        </w:rPr>
        <w:t>XXX</w:t>
      </w:r>
      <w:r w:rsidR="005349BF">
        <w:rPr>
          <w:rFonts w:ascii="David" w:hAnsi="David"/>
          <w:rtl/>
        </w:rPr>
        <w:t>.</w:t>
      </w:r>
    </w:p>
    <w:p w:rsidR="00136CFF" w:rsidRDefault="00136CFF" w:rsidP="005349BF">
      <w:pPr>
        <w:spacing w:line="360" w:lineRule="auto"/>
        <w:ind w:left="2130" w:hanging="720"/>
        <w:jc w:val="both"/>
        <w:rPr>
          <w:rFonts w:ascii="David" w:hAnsi="David"/>
          <w:rtl/>
        </w:rPr>
      </w:pPr>
    </w:p>
    <w:p w:rsidR="00D54553" w:rsidRDefault="00D54553" w:rsidP="00D54553">
      <w:pPr>
        <w:spacing w:line="360" w:lineRule="auto"/>
        <w:ind w:left="1410" w:hanging="690"/>
        <w:jc w:val="both"/>
        <w:rPr>
          <w:rFonts w:ascii="David" w:hAnsi="David"/>
          <w:rtl/>
        </w:rPr>
      </w:pPr>
      <w:r>
        <w:rPr>
          <w:rFonts w:ascii="David" w:hAnsi="David"/>
          <w:rtl/>
        </w:rPr>
        <w:t>ב.</w:t>
      </w:r>
      <w:r>
        <w:rPr>
          <w:rFonts w:ascii="David" w:hAnsi="David"/>
          <w:rtl/>
        </w:rPr>
        <w:tab/>
        <w:t>שאר הליכי הכינוס ביחס לשאר הנכסים יימשכו כסדרם. לא נעלמו מעיניי טענות ב"כ הנתבע בדיון ביחס לחנויות אך אלו נדחות על ידי לאור ההשתלשלות בתיק ביחס אליהן.</w:t>
      </w:r>
    </w:p>
    <w:p w:rsidR="00136CFF" w:rsidRDefault="00136CFF" w:rsidP="00D54553">
      <w:pPr>
        <w:spacing w:line="360" w:lineRule="auto"/>
        <w:ind w:left="1410" w:hanging="690"/>
        <w:jc w:val="both"/>
        <w:rPr>
          <w:rFonts w:ascii="David" w:hAnsi="David"/>
          <w:rtl/>
        </w:rPr>
      </w:pPr>
    </w:p>
    <w:p w:rsidR="00D54553" w:rsidRDefault="00D54553" w:rsidP="00D54553">
      <w:pPr>
        <w:spacing w:line="360" w:lineRule="auto"/>
        <w:ind w:left="1410" w:hanging="708"/>
        <w:jc w:val="both"/>
        <w:rPr>
          <w:rFonts w:ascii="David" w:hAnsi="David"/>
          <w:rtl/>
        </w:rPr>
      </w:pPr>
      <w:r>
        <w:rPr>
          <w:rFonts w:ascii="David" w:hAnsi="David"/>
          <w:rtl/>
        </w:rPr>
        <w:t>ג.</w:t>
      </w:r>
      <w:r>
        <w:rPr>
          <w:rFonts w:ascii="David" w:hAnsi="David"/>
          <w:rtl/>
        </w:rPr>
        <w:tab/>
        <w:t xml:space="preserve">עם זאת על מנת לאפשר לנתבע להגיש בר"ע על החלטתי זו על רכיביה השונים הליכי הכינוס </w:t>
      </w:r>
      <w:r>
        <w:rPr>
          <w:rFonts w:ascii="David" w:hAnsi="David"/>
          <w:u w:val="single"/>
          <w:rtl/>
        </w:rPr>
        <w:t>יוקפאו למשך 14 יום</w:t>
      </w:r>
      <w:r>
        <w:rPr>
          <w:rFonts w:ascii="David" w:hAnsi="David"/>
          <w:rtl/>
        </w:rPr>
        <w:t xml:space="preserve">  מהיום וזאת כאמור לאפשר לתבע להשיג על החלטתי זו לביהמ"ש המחוזי.</w:t>
      </w:r>
    </w:p>
    <w:p w:rsidR="00136CFF" w:rsidRDefault="00136CFF" w:rsidP="00D54553">
      <w:pPr>
        <w:spacing w:line="360" w:lineRule="auto"/>
        <w:ind w:left="1410" w:hanging="708"/>
        <w:jc w:val="both"/>
        <w:rPr>
          <w:rFonts w:ascii="David" w:hAnsi="David"/>
          <w:rtl/>
        </w:rPr>
      </w:pPr>
    </w:p>
    <w:p w:rsidR="00D54553" w:rsidRDefault="00D54553" w:rsidP="00D54553">
      <w:pPr>
        <w:spacing w:line="360" w:lineRule="auto"/>
        <w:ind w:left="1410" w:hanging="708"/>
        <w:jc w:val="both"/>
        <w:rPr>
          <w:rFonts w:ascii="David" w:hAnsi="David"/>
          <w:rtl/>
        </w:rPr>
      </w:pPr>
      <w:r>
        <w:rPr>
          <w:rFonts w:ascii="David" w:hAnsi="David"/>
          <w:rtl/>
        </w:rPr>
        <w:t>ד.</w:t>
      </w:r>
      <w:r>
        <w:rPr>
          <w:rFonts w:ascii="David" w:hAnsi="David"/>
          <w:rtl/>
        </w:rPr>
        <w:tab/>
        <w:t xml:space="preserve">לא נעלמו מעיני דברי כונסות הנכסים " </w:t>
      </w:r>
      <w:r>
        <w:rPr>
          <w:rFonts w:ascii="David" w:hAnsi="David"/>
          <w:b/>
          <w:bCs/>
          <w:rtl/>
        </w:rPr>
        <w:t xml:space="preserve">לא יתכן שאנשים צדדי ג' שכבר אישרו להם את העסקאות, והתמכרו בצורה מסודרת, והכל היה גלוי וידוע ומסודר, יגלו שבעצם העסקאות שאושרו כבר לא מאושרות וזה בעצם מה שהנתבע רוצה לעשות". </w:t>
      </w:r>
      <w:r>
        <w:rPr>
          <w:rFonts w:ascii="David" w:hAnsi="David"/>
          <w:rtl/>
        </w:rPr>
        <w:t xml:space="preserve">צודקות כונסות הנכסים שהעתרות לבקשותיו של הנתבע,  כל פעם בטיעון אחר, יש משום מתן 'פרס' על התנהלותו. חרף זאת, מצאתי לאפשר לו למצות את טענותיו, הגם שדה פקטו זנחן במהלך ההליך, והביטוי להתנהלותו כלפי התובעת יקבל ביטוי בפסיקת הוצאות על פי תוצאות ההליך.  </w:t>
      </w:r>
    </w:p>
    <w:p w:rsidR="00136CFF" w:rsidRDefault="00136CFF" w:rsidP="00D54553">
      <w:pPr>
        <w:spacing w:line="360" w:lineRule="auto"/>
        <w:ind w:left="1410" w:hanging="708"/>
        <w:jc w:val="both"/>
        <w:rPr>
          <w:rFonts w:ascii="David" w:hAnsi="David"/>
          <w:rtl/>
        </w:rPr>
      </w:pPr>
    </w:p>
    <w:p w:rsidR="00D54553" w:rsidRDefault="00D54553" w:rsidP="00D54553">
      <w:pPr>
        <w:spacing w:line="360" w:lineRule="auto"/>
        <w:ind w:left="702" w:hanging="709"/>
        <w:jc w:val="both"/>
        <w:rPr>
          <w:rFonts w:ascii="David" w:hAnsi="David"/>
          <w:rtl/>
        </w:rPr>
      </w:pPr>
      <w:r>
        <w:rPr>
          <w:rFonts w:ascii="David" w:hAnsi="David"/>
          <w:rtl/>
        </w:rPr>
        <w:t>6.</w:t>
      </w:r>
      <w:r>
        <w:rPr>
          <w:rFonts w:ascii="David" w:hAnsi="David"/>
          <w:rtl/>
        </w:rPr>
        <w:tab/>
        <w:t xml:space="preserve">באי כוח הצדדים יעדכנו כיצד בדעתם להמשיך את ההליכים וזאת תוך 21 יום מהיום. </w:t>
      </w:r>
    </w:p>
    <w:p w:rsidR="00D54553" w:rsidRDefault="00D54553" w:rsidP="00D54553">
      <w:pPr>
        <w:spacing w:line="360" w:lineRule="auto"/>
        <w:ind w:left="702" w:hanging="709"/>
        <w:jc w:val="both"/>
        <w:rPr>
          <w:rFonts w:ascii="David" w:hAnsi="David"/>
          <w:rtl/>
        </w:rPr>
      </w:pPr>
      <w:r>
        <w:rPr>
          <w:rFonts w:ascii="David" w:hAnsi="David"/>
          <w:rtl/>
        </w:rPr>
        <w:lastRenderedPageBreak/>
        <w:t>7.</w:t>
      </w:r>
      <w:r>
        <w:rPr>
          <w:rFonts w:ascii="David" w:hAnsi="David"/>
          <w:rtl/>
        </w:rPr>
        <w:tab/>
        <w:t>משעה שהטיפול בתיק הועבר לכבוד השופטת דיאנה פסו-ואגו תונח החלטה זו לעיונה בסל המשימות שלה.</w:t>
      </w:r>
    </w:p>
    <w:p w:rsidR="00136CFF" w:rsidRDefault="00136CFF" w:rsidP="00D54553">
      <w:pPr>
        <w:spacing w:line="360" w:lineRule="auto"/>
        <w:ind w:left="702" w:hanging="709"/>
        <w:jc w:val="both"/>
        <w:rPr>
          <w:rFonts w:ascii="David" w:hAnsi="David"/>
          <w:rtl/>
        </w:rPr>
      </w:pPr>
    </w:p>
    <w:p w:rsidR="00D54553" w:rsidRDefault="00D54553" w:rsidP="00D54553">
      <w:pPr>
        <w:spacing w:line="360" w:lineRule="auto"/>
        <w:ind w:left="702" w:hanging="709"/>
        <w:jc w:val="both"/>
        <w:rPr>
          <w:rFonts w:ascii="David" w:hAnsi="David"/>
          <w:rtl/>
        </w:rPr>
      </w:pPr>
      <w:r>
        <w:rPr>
          <w:rFonts w:ascii="David" w:hAnsi="David"/>
          <w:rtl/>
        </w:rPr>
        <w:t>8.</w:t>
      </w:r>
      <w:r>
        <w:rPr>
          <w:rFonts w:ascii="David" w:hAnsi="David"/>
          <w:rtl/>
        </w:rPr>
        <w:tab/>
        <w:t xml:space="preserve">ת"פ בסל  המשימות של כב' השופטת פסו-ואגו ליום28.2.2025. </w:t>
      </w:r>
    </w:p>
    <w:p w:rsidR="00D54553" w:rsidRDefault="00D54553" w:rsidP="00D54553">
      <w:pPr>
        <w:spacing w:line="360" w:lineRule="auto"/>
        <w:ind w:left="843" w:hanging="1458"/>
        <w:jc w:val="both"/>
        <w:rPr>
          <w:rFonts w:ascii="David" w:hAnsi="David"/>
          <w:rtl/>
        </w:rPr>
      </w:pPr>
    </w:p>
    <w:p w:rsidR="00694556" w:rsidRPr="00DE1E7D" w:rsidRDefault="006023D4">
      <w:pPr>
        <w:spacing w:line="360" w:lineRule="auto"/>
        <w:jc w:val="both"/>
        <w:rPr>
          <w:rFonts w:ascii="Arial" w:hAnsi="Arial"/>
          <w:noProof w:val="0"/>
          <w:rtl/>
        </w:rPr>
      </w:pPr>
      <w:r>
        <w:rPr>
          <w:rFonts w:ascii="Arial" w:hAnsi="Arial" w:hint="cs"/>
          <w:noProof w:val="0"/>
          <w:rtl/>
        </w:rPr>
        <w:t>יודע.</w:t>
      </w:r>
    </w:p>
    <w:p w:rsidR="00694556" w:rsidRPr="00DE1E7D" w:rsidRDefault="00694556">
      <w:pPr>
        <w:spacing w:line="360" w:lineRule="auto"/>
        <w:jc w:val="both"/>
        <w:rPr>
          <w:rFonts w:ascii="Arial" w:hAnsi="Arial"/>
          <w:noProof w:val="0"/>
          <w:rtl/>
        </w:rPr>
      </w:pPr>
    </w:p>
    <w:p w:rsidR="00694556" w:rsidRDefault="0043502B">
      <w:pPr>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sidR="00005C8B">
        <w:rPr>
          <w:rFonts w:ascii="Arial" w:hAnsi="Arial"/>
          <w:noProof w:val="0"/>
          <w:rtl/>
        </w:rPr>
        <w:t xml:space="preserve"> היום, </w:t>
      </w:r>
      <w:sdt>
        <w:sdtPr>
          <w:rPr>
            <w:rtl/>
          </w:rPr>
          <w:alias w:val="1455"/>
          <w:tag w:val="1455"/>
          <w:id w:val="1666048407"/>
          <w:text w:multiLine="1"/>
        </w:sdtPr>
        <w:sdtContent>
          <w:r>
            <w:rPr>
              <w:rFonts w:ascii="Arial" w:hAnsi="Arial"/>
              <w:noProof w:val="0"/>
              <w:rtl/>
            </w:rPr>
            <w:t>ד' אדר תשפ"ה</w:t>
          </w:r>
        </w:sdtContent>
      </w:sdt>
      <w:r w:rsidR="00005C8B">
        <w:rPr>
          <w:rFonts w:ascii="Arial" w:hAnsi="Arial"/>
          <w:noProof w:val="0"/>
          <w:rtl/>
        </w:rPr>
        <w:t xml:space="preserve">, </w:t>
      </w:r>
      <w:sdt>
        <w:sdtPr>
          <w:rPr>
            <w:rtl/>
          </w:rPr>
          <w:alias w:val="1456"/>
          <w:tag w:val="1456"/>
          <w:id w:val="-1186288958"/>
          <w:text w:multiLine="1"/>
        </w:sdtPr>
        <w:sdtContent>
          <w:r>
            <w:rPr>
              <w:rFonts w:ascii="Arial" w:hAnsi="Arial"/>
              <w:noProof w:val="0"/>
              <w:rtl/>
            </w:rPr>
            <w:t>04 מרץ 2025</w:t>
          </w:r>
        </w:sdtContent>
      </w:sdt>
      <w:r w:rsidR="00005C8B">
        <w:rPr>
          <w:rFonts w:ascii="Arial" w:hAnsi="Arial"/>
          <w:noProof w:val="0"/>
          <w:rtl/>
        </w:rPr>
        <w:t>, בהעדר הצדדים.</w:t>
      </w:r>
    </w:p>
    <w:p w:rsidR="00C43648" w:rsidRDefault="00000000"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Content>
          <w:r w:rsidR="00C43648">
            <w:rPr>
              <w:rFonts w:hint="cs"/>
              <w:rtl/>
            </w:rPr>
            <w:t xml:space="preserve">     </w:t>
          </w:r>
        </w:sdtContent>
      </w:sdt>
    </w:p>
    <w:p w:rsidR="00694556" w:rsidRDefault="00BD6531" w:rsidP="00BD6531">
      <w:pPr>
        <w:tabs>
          <w:tab w:val="left" w:pos="2553"/>
        </w:tabs>
      </w:pPr>
      <w:r>
        <w:rPr>
          <w:rFonts w:hint="cs"/>
          <w:rtl/>
        </w:rPr>
        <w:tab/>
      </w:r>
      <w:r>
        <w:rPr>
          <w:rFonts w:hint="cs"/>
          <w:rtl/>
        </w:rPr>
        <w:tab/>
      </w:r>
      <w:r>
        <w:rPr>
          <w:rFonts w:hint="cs"/>
          <w:rtl/>
        </w:rPr>
        <w:tab/>
      </w:r>
      <w:r>
        <w:rPr>
          <w:rFonts w:hint="cs"/>
          <w:rtl/>
        </w:rPr>
        <w:tab/>
        <w:t xml:space="preserve">        </w:t>
      </w:r>
      <w:sdt>
        <w:sdtPr>
          <w:rPr>
            <w:rtl/>
          </w:rPr>
          <w:alias w:val="MergeField"/>
          <w:tag w:val="1237"/>
          <w:id w:val="1377900294"/>
        </w:sdtPr>
        <w:sdtContent>
          <w:r w:rsidR="006754A0">
            <w:drawing>
              <wp:inline distT="0" distB="0" distL="0" distR="0" wp14:editId="50D07946">
                <wp:extent cx="1685925" cy="1009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stretch>
                          <a:fillRect/>
                        </a:stretch>
                      </pic:blipFill>
                      <pic:spPr>
                        <a:xfrm>
                          <a:off x="0" y="0"/>
                          <a:ext cx="1685925" cy="1009649"/>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136CFF">
      <w:headerReference w:type="even" r:id="rId9"/>
      <w:headerReference w:type="default" r:id="rId10"/>
      <w:footerReference w:type="even" r:id="rId11"/>
      <w:footerReference w:type="default" r:id="rId12"/>
      <w:headerReference w:type="first" r:id="rId13"/>
      <w:footerReference w:type="first" r:id="rId14"/>
      <w:pgSz w:w="11907" w:h="16840" w:code="9"/>
      <w:pgMar w:top="454" w:right="1701" w:bottom="1701" w:left="1701" w:header="720" w:footer="510"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371" w:rsidRDefault="00313371">
      <w:r>
        <w:separator/>
      </w:r>
    </w:p>
  </w:endnote>
  <w:endnote w:type="continuationSeparator" w:id="0">
    <w:p w:rsidR="00313371" w:rsidRDefault="0031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11C" w:rsidRDefault="00BF21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556" w:rsidRPr="004E6E3C" w:rsidRDefault="000C3B6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BF211C">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BF211C">
      <w:rPr>
        <w:rStyle w:val="ab"/>
        <w:rtl/>
      </w:rPr>
      <w:t>8</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11C" w:rsidRDefault="00BF21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371" w:rsidRDefault="00313371">
      <w:r>
        <w:separator/>
      </w:r>
    </w:p>
  </w:footnote>
  <w:footnote w:type="continuationSeparator" w:id="0">
    <w:p w:rsidR="00313371" w:rsidRDefault="0031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11C" w:rsidRDefault="00BF21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686C21">
      <w:trPr>
        <w:trHeight w:hRule="exact" w:val="704"/>
        <w:jc w:val="center"/>
      </w:trPr>
      <w:sdt>
        <w:sdtPr>
          <w:rPr>
            <w:rFonts w:ascii="Tahoma" w:hAnsi="Tahoma"/>
            <w:color w:val="000080"/>
            <w:sz w:val="32"/>
            <w:szCs w:val="32"/>
            <w:rtl/>
          </w:rPr>
          <w:alias w:val="1174"/>
          <w:tag w:val="1174"/>
          <w:id w:val="-1585920285"/>
          <w:text w:multiLine="1"/>
        </w:sdtPr>
        <w:sdtContent>
          <w:tc>
            <w:tcPr>
              <w:tcW w:w="8721" w:type="dxa"/>
              <w:gridSpan w:val="2"/>
            </w:tcPr>
            <w:p w:rsidR="00694556" w:rsidRPr="00F038D8" w:rsidRDefault="003D1C8C" w:rsidP="003230C7">
              <w:pPr>
                <w:pStyle w:val="a3"/>
                <w:jc w:val="center"/>
                <w:rPr>
                  <w:rFonts w:ascii="Tahoma" w:hAnsi="Tahoma"/>
                  <w:noProof w:val="0"/>
                  <w:color w:val="000080"/>
                  <w:sz w:val="32"/>
                  <w:szCs w:val="32"/>
                  <w:rtl/>
                </w:rPr>
              </w:pPr>
              <w:r w:rsidRPr="00F038D8">
                <w:rPr>
                  <w:rFonts w:ascii="Tahoma" w:hAnsi="Tahoma"/>
                  <w:color w:val="000080"/>
                  <w:sz w:val="32"/>
                  <w:szCs w:val="32"/>
                  <w:rtl/>
                </w:rPr>
                <w:t>בית משפט לענייני משפחה בקריית גת</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7D45E3" w:rsidRDefault="00000000" w:rsidP="005349BF">
          <w:pPr>
            <w:rPr>
              <w:b/>
              <w:bCs/>
              <w:noProof w:val="0"/>
              <w:sz w:val="26"/>
              <w:szCs w:val="26"/>
              <w:rtl/>
            </w:rPr>
          </w:pPr>
          <w:sdt>
            <w:sdtPr>
              <w:rPr>
                <w:rtl/>
              </w:rPr>
              <w:alias w:val="1170"/>
              <w:tag w:val="1170"/>
              <w:id w:val="1066377040"/>
              <w:text w:multiLine="1"/>
            </w:sdtPr>
            <w:sdtContent>
              <w:proofErr w:type="spellStart"/>
              <w:r w:rsidR="00A00812">
                <w:rPr>
                  <w:b/>
                  <w:bCs/>
                  <w:noProof w:val="0"/>
                  <w:sz w:val="26"/>
                  <w:szCs w:val="26"/>
                  <w:rtl/>
                </w:rPr>
                <w:t>תלה"מ</w:t>
              </w:r>
              <w:proofErr w:type="spellEnd"/>
            </w:sdtContent>
          </w:sdt>
          <w:r w:rsidR="00005C8B">
            <w:rPr>
              <w:b/>
              <w:bCs/>
              <w:noProof w:val="0"/>
              <w:sz w:val="26"/>
              <w:szCs w:val="26"/>
              <w:rtl/>
            </w:rPr>
            <w:t xml:space="preserve"> </w:t>
          </w:r>
          <w:sdt>
            <w:sdtPr>
              <w:rPr>
                <w:rtl/>
              </w:rPr>
              <w:alias w:val="1171"/>
              <w:tag w:val="1171"/>
              <w:id w:val="257034231"/>
              <w:text w:multiLine="1"/>
            </w:sdtPr>
            <w:sdtContent>
              <w:r w:rsidR="00A00812">
                <w:rPr>
                  <w:b/>
                  <w:bCs/>
                  <w:noProof w:val="0"/>
                  <w:sz w:val="26"/>
                  <w:szCs w:val="26"/>
                  <w:rtl/>
                </w:rPr>
                <w:t>23322-07-20</w:t>
              </w:r>
            </w:sdtContent>
          </w:sdt>
          <w:r w:rsidR="00005C8B">
            <w:rPr>
              <w:b/>
              <w:bCs/>
              <w:noProof w:val="0"/>
              <w:sz w:val="26"/>
              <w:szCs w:val="26"/>
              <w:rtl/>
            </w:rPr>
            <w:t xml:space="preserve"> </w:t>
          </w:r>
          <w:sdt>
            <w:sdtPr>
              <w:rPr>
                <w:rtl/>
              </w:rPr>
              <w:alias w:val="1172"/>
              <w:tag w:val="1172"/>
              <w:id w:val="-595170033"/>
              <w:text w:multiLine="1"/>
            </w:sdtPr>
            <w:sdtContent>
              <w:r w:rsidR="00A00812">
                <w:rPr>
                  <w:b/>
                  <w:bCs/>
                  <w:noProof w:val="0"/>
                  <w:sz w:val="26"/>
                  <w:szCs w:val="26"/>
                  <w:rtl/>
                </w:rPr>
                <w:t>נ</w:t>
              </w:r>
              <w:r w:rsidR="005349BF">
                <w:rPr>
                  <w:rFonts w:hint="cs"/>
                  <w:b/>
                  <w:bCs/>
                  <w:noProof w:val="0"/>
                  <w:sz w:val="26"/>
                  <w:szCs w:val="26"/>
                  <w:rtl/>
                </w:rPr>
                <w:t>.</w:t>
              </w:r>
              <w:r w:rsidR="00A00812">
                <w:rPr>
                  <w:b/>
                  <w:bCs/>
                  <w:noProof w:val="0"/>
                  <w:sz w:val="26"/>
                  <w:szCs w:val="26"/>
                  <w:rtl/>
                </w:rPr>
                <w:t xml:space="preserve"> נ' נ</w:t>
              </w:r>
              <w:r w:rsidR="005349BF">
                <w:rPr>
                  <w:rFonts w:hint="cs"/>
                  <w:b/>
                  <w:bCs/>
                  <w:noProof w:val="0"/>
                  <w:sz w:val="26"/>
                  <w:szCs w:val="26"/>
                  <w:rtl/>
                </w:rPr>
                <w:t>.</w:t>
              </w:r>
            </w:sdtContent>
          </w:sdt>
        </w:p>
        <w:p w:rsidR="007D45E3" w:rsidRPr="007B7765" w:rsidRDefault="007D45E3" w:rsidP="007D45E3">
          <w:pPr>
            <w:rPr>
              <w:b/>
              <w:bCs/>
              <w:noProof w:val="0"/>
              <w:sz w:val="2"/>
              <w:szCs w:val="2"/>
              <w:rtl/>
            </w:rPr>
          </w:pPr>
        </w:p>
        <w:p w:rsidR="007D45E3" w:rsidRDefault="007D45E3" w:rsidP="007D45E3">
          <w:pPr>
            <w:rPr>
              <w:sz w:val="20"/>
              <w:szCs w:val="20"/>
              <w:rtl/>
            </w:rPr>
          </w:pPr>
          <w:r>
            <w:rPr>
              <w:rFonts w:hint="cs"/>
              <w:rtl/>
            </w:rPr>
            <w:t xml:space="preserve">                           </w:t>
          </w:r>
          <w:r>
            <w:rPr>
              <w:rFonts w:hint="cs"/>
              <w:sz w:val="20"/>
              <w:szCs w:val="20"/>
              <w:rtl/>
            </w:rPr>
            <w:t xml:space="preserve">                                       </w:t>
          </w:r>
        </w:p>
        <w:p w:rsidR="008D10B2" w:rsidRPr="00E1068A" w:rsidRDefault="008D10B2" w:rsidP="007D45E3">
          <w:pPr>
            <w:rPr>
              <w:sz w:val="20"/>
              <w:szCs w:val="20"/>
              <w:rtl/>
            </w:rPr>
          </w:pP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11C" w:rsidRDefault="00BF21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0379"/>
    <w:multiLevelType w:val="hybridMultilevel"/>
    <w:tmpl w:val="06100550"/>
    <w:lvl w:ilvl="0" w:tplc="D4520708">
      <w:start w:val="1"/>
      <w:numFmt w:val="decimal"/>
      <w:lvlText w:val="%1."/>
      <w:lvlJc w:val="left"/>
      <w:pPr>
        <w:ind w:left="713" w:hanging="72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 w15:restartNumberingAfterBreak="0">
    <w:nsid w:val="1F826745"/>
    <w:multiLevelType w:val="hybridMultilevel"/>
    <w:tmpl w:val="3454C65E"/>
    <w:lvl w:ilvl="0" w:tplc="CE785D78">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B0C4B"/>
    <w:multiLevelType w:val="hybridMultilevel"/>
    <w:tmpl w:val="4014D408"/>
    <w:lvl w:ilvl="0" w:tplc="C838BA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C3187F"/>
    <w:multiLevelType w:val="hybridMultilevel"/>
    <w:tmpl w:val="241CC22E"/>
    <w:lvl w:ilvl="0" w:tplc="EB1E63C6">
      <w:start w:val="1"/>
      <w:numFmt w:val="hebrew1"/>
      <w:lvlText w:val="%1."/>
      <w:lvlJc w:val="left"/>
      <w:pPr>
        <w:ind w:left="1437" w:hanging="735"/>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15:restartNumberingAfterBreak="0">
    <w:nsid w:val="4E3F15E9"/>
    <w:multiLevelType w:val="hybridMultilevel"/>
    <w:tmpl w:val="C1CC3DFC"/>
    <w:lvl w:ilvl="0" w:tplc="F64A22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E35A37"/>
    <w:multiLevelType w:val="hybridMultilevel"/>
    <w:tmpl w:val="9ADA0E5C"/>
    <w:lvl w:ilvl="0" w:tplc="36B4E7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1316254">
    <w:abstractNumId w:val="0"/>
  </w:num>
  <w:num w:numId="2" w16cid:durableId="633102903">
    <w:abstractNumId w:val="1"/>
  </w:num>
  <w:num w:numId="3" w16cid:durableId="391855528">
    <w:abstractNumId w:val="2"/>
  </w:num>
  <w:num w:numId="4" w16cid:durableId="1577520794">
    <w:abstractNumId w:val="5"/>
  </w:num>
  <w:num w:numId="5" w16cid:durableId="2061513223">
    <w:abstractNumId w:val="4"/>
  </w:num>
  <w:num w:numId="6" w16cid:durableId="1665473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529D2"/>
    <w:rsid w:val="000564AB"/>
    <w:rsid w:val="00064FBD"/>
    <w:rsid w:val="00082AB2"/>
    <w:rsid w:val="000906FE"/>
    <w:rsid w:val="00096AF7"/>
    <w:rsid w:val="000B344B"/>
    <w:rsid w:val="000C3B0F"/>
    <w:rsid w:val="000C3B60"/>
    <w:rsid w:val="000E0DD2"/>
    <w:rsid w:val="000E3AF1"/>
    <w:rsid w:val="000E75D0"/>
    <w:rsid w:val="000F0BC8"/>
    <w:rsid w:val="000F0DD6"/>
    <w:rsid w:val="00107E6D"/>
    <w:rsid w:val="0011194C"/>
    <w:rsid w:val="0011424C"/>
    <w:rsid w:val="001173C6"/>
    <w:rsid w:val="001367BC"/>
    <w:rsid w:val="00136CFF"/>
    <w:rsid w:val="00144D2A"/>
    <w:rsid w:val="0014653E"/>
    <w:rsid w:val="00180519"/>
    <w:rsid w:val="00183A15"/>
    <w:rsid w:val="00191C82"/>
    <w:rsid w:val="001C4003"/>
    <w:rsid w:val="001D4DBF"/>
    <w:rsid w:val="001E75CA"/>
    <w:rsid w:val="002241C7"/>
    <w:rsid w:val="002265FF"/>
    <w:rsid w:val="00246980"/>
    <w:rsid w:val="00271B56"/>
    <w:rsid w:val="00273C7A"/>
    <w:rsid w:val="002C344E"/>
    <w:rsid w:val="002E122E"/>
    <w:rsid w:val="002E75E9"/>
    <w:rsid w:val="00307A6A"/>
    <w:rsid w:val="00307C40"/>
    <w:rsid w:val="00313371"/>
    <w:rsid w:val="00320433"/>
    <w:rsid w:val="003230C7"/>
    <w:rsid w:val="00327E50"/>
    <w:rsid w:val="0033597A"/>
    <w:rsid w:val="00343D89"/>
    <w:rsid w:val="00362612"/>
    <w:rsid w:val="00362E28"/>
    <w:rsid w:val="0036743F"/>
    <w:rsid w:val="003715DD"/>
    <w:rsid w:val="003823E0"/>
    <w:rsid w:val="003A4521"/>
    <w:rsid w:val="003D1C8C"/>
    <w:rsid w:val="003D29CD"/>
    <w:rsid w:val="0040096C"/>
    <w:rsid w:val="00414F1F"/>
    <w:rsid w:val="0043125D"/>
    <w:rsid w:val="0043502B"/>
    <w:rsid w:val="004443AC"/>
    <w:rsid w:val="00444B02"/>
    <w:rsid w:val="00451E28"/>
    <w:rsid w:val="00462C62"/>
    <w:rsid w:val="00465D36"/>
    <w:rsid w:val="004C17EE"/>
    <w:rsid w:val="004C4BDF"/>
    <w:rsid w:val="004D1187"/>
    <w:rsid w:val="004D3AA0"/>
    <w:rsid w:val="004E1987"/>
    <w:rsid w:val="004E2E15"/>
    <w:rsid w:val="004E5315"/>
    <w:rsid w:val="004E6E3C"/>
    <w:rsid w:val="00520898"/>
    <w:rsid w:val="00523621"/>
    <w:rsid w:val="00524986"/>
    <w:rsid w:val="005268F6"/>
    <w:rsid w:val="00534284"/>
    <w:rsid w:val="005349BF"/>
    <w:rsid w:val="00534EB7"/>
    <w:rsid w:val="00547DB7"/>
    <w:rsid w:val="005678DF"/>
    <w:rsid w:val="005C6F6E"/>
    <w:rsid w:val="005F4F09"/>
    <w:rsid w:val="006023D4"/>
    <w:rsid w:val="0061431B"/>
    <w:rsid w:val="00622BAA"/>
    <w:rsid w:val="006306CF"/>
    <w:rsid w:val="00644E9A"/>
    <w:rsid w:val="00671BD5"/>
    <w:rsid w:val="006754A0"/>
    <w:rsid w:val="006805C1"/>
    <w:rsid w:val="00686C21"/>
    <w:rsid w:val="006931C1"/>
    <w:rsid w:val="00694556"/>
    <w:rsid w:val="006C30C5"/>
    <w:rsid w:val="006D3B31"/>
    <w:rsid w:val="006E0D96"/>
    <w:rsid w:val="006E1A53"/>
    <w:rsid w:val="006F56E6"/>
    <w:rsid w:val="00704EDA"/>
    <w:rsid w:val="00721122"/>
    <w:rsid w:val="00753019"/>
    <w:rsid w:val="00754801"/>
    <w:rsid w:val="00761441"/>
    <w:rsid w:val="00780FFA"/>
    <w:rsid w:val="00795365"/>
    <w:rsid w:val="007A351D"/>
    <w:rsid w:val="007B7765"/>
    <w:rsid w:val="007C5BDD"/>
    <w:rsid w:val="007D45E3"/>
    <w:rsid w:val="007D5AD9"/>
    <w:rsid w:val="007E3972"/>
    <w:rsid w:val="007E6115"/>
    <w:rsid w:val="007F4609"/>
    <w:rsid w:val="00814468"/>
    <w:rsid w:val="008176A1"/>
    <w:rsid w:val="00820005"/>
    <w:rsid w:val="00844318"/>
    <w:rsid w:val="00863F5D"/>
    <w:rsid w:val="00870890"/>
    <w:rsid w:val="00873602"/>
    <w:rsid w:val="00875D12"/>
    <w:rsid w:val="0088479D"/>
    <w:rsid w:val="00896889"/>
    <w:rsid w:val="008B706A"/>
    <w:rsid w:val="008C5714"/>
    <w:rsid w:val="008D10B2"/>
    <w:rsid w:val="00903896"/>
    <w:rsid w:val="00906F3D"/>
    <w:rsid w:val="0094424E"/>
    <w:rsid w:val="00955642"/>
    <w:rsid w:val="009622DF"/>
    <w:rsid w:val="0096493F"/>
    <w:rsid w:val="00967DFF"/>
    <w:rsid w:val="00994341"/>
    <w:rsid w:val="009D1A48"/>
    <w:rsid w:val="009E1CE7"/>
    <w:rsid w:val="009E4EA5"/>
    <w:rsid w:val="009F164B"/>
    <w:rsid w:val="009F323C"/>
    <w:rsid w:val="00A00812"/>
    <w:rsid w:val="00A065DC"/>
    <w:rsid w:val="00A20F51"/>
    <w:rsid w:val="00A3392B"/>
    <w:rsid w:val="00A7032B"/>
    <w:rsid w:val="00A832ED"/>
    <w:rsid w:val="00A85E34"/>
    <w:rsid w:val="00A94B64"/>
    <w:rsid w:val="00AA3229"/>
    <w:rsid w:val="00AA7596"/>
    <w:rsid w:val="00AB5E52"/>
    <w:rsid w:val="00AC3B02"/>
    <w:rsid w:val="00AC3B7B"/>
    <w:rsid w:val="00AC4122"/>
    <w:rsid w:val="00AC5209"/>
    <w:rsid w:val="00AE0E34"/>
    <w:rsid w:val="00AE729E"/>
    <w:rsid w:val="00AE7752"/>
    <w:rsid w:val="00AF7FDA"/>
    <w:rsid w:val="00B25959"/>
    <w:rsid w:val="00B5356E"/>
    <w:rsid w:val="00B809AD"/>
    <w:rsid w:val="00B80CBD"/>
    <w:rsid w:val="00B86096"/>
    <w:rsid w:val="00B964D9"/>
    <w:rsid w:val="00BA0A7C"/>
    <w:rsid w:val="00BA517C"/>
    <w:rsid w:val="00BB3D05"/>
    <w:rsid w:val="00BB73BE"/>
    <w:rsid w:val="00BC2D89"/>
    <w:rsid w:val="00BD6531"/>
    <w:rsid w:val="00BE05B2"/>
    <w:rsid w:val="00BF1908"/>
    <w:rsid w:val="00BF211C"/>
    <w:rsid w:val="00BF3560"/>
    <w:rsid w:val="00C22D93"/>
    <w:rsid w:val="00C23458"/>
    <w:rsid w:val="00C31120"/>
    <w:rsid w:val="00C34482"/>
    <w:rsid w:val="00C43648"/>
    <w:rsid w:val="00C50A9F"/>
    <w:rsid w:val="00C642FA"/>
    <w:rsid w:val="00CC7622"/>
    <w:rsid w:val="00CD608F"/>
    <w:rsid w:val="00D04AA4"/>
    <w:rsid w:val="00D27982"/>
    <w:rsid w:val="00D33B86"/>
    <w:rsid w:val="00D44968"/>
    <w:rsid w:val="00D53924"/>
    <w:rsid w:val="00D54553"/>
    <w:rsid w:val="00D55D0C"/>
    <w:rsid w:val="00D5623E"/>
    <w:rsid w:val="00D96D8C"/>
    <w:rsid w:val="00DA6649"/>
    <w:rsid w:val="00DC1259"/>
    <w:rsid w:val="00DC1BD2"/>
    <w:rsid w:val="00DC2571"/>
    <w:rsid w:val="00DC487C"/>
    <w:rsid w:val="00DD3016"/>
    <w:rsid w:val="00DE1E7D"/>
    <w:rsid w:val="00DE6BF6"/>
    <w:rsid w:val="00E1068A"/>
    <w:rsid w:val="00E25884"/>
    <w:rsid w:val="00E25B55"/>
    <w:rsid w:val="00E31C2B"/>
    <w:rsid w:val="00E5426A"/>
    <w:rsid w:val="00E54642"/>
    <w:rsid w:val="00E80CBE"/>
    <w:rsid w:val="00E962E3"/>
    <w:rsid w:val="00E970D1"/>
    <w:rsid w:val="00EB6C79"/>
    <w:rsid w:val="00EC37E9"/>
    <w:rsid w:val="00F038D8"/>
    <w:rsid w:val="00F06995"/>
    <w:rsid w:val="00F13623"/>
    <w:rsid w:val="00F3036B"/>
    <w:rsid w:val="00F35B27"/>
    <w:rsid w:val="00F44D1D"/>
    <w:rsid w:val="00F84B6D"/>
    <w:rsid w:val="00FA311A"/>
    <w:rsid w:val="00FA5FDA"/>
    <w:rsid w:val="00FB6AB3"/>
    <w:rsid w:val="00FC37CF"/>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styleId="ad">
    <w:name w:val="List Paragraph"/>
    <w:basedOn w:val="a"/>
    <w:uiPriority w:val="34"/>
    <w:qFormat/>
    <w:rsid w:val="00D5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3644">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EA4847" w:rsidP="00EA4847">
          <w:pPr>
            <w:pStyle w:val="E460D38E05664FF79D4EFF282EF8EC9922"/>
          </w:pPr>
          <w:r>
            <w:rPr>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A4ACE"/>
    <w:rsid w:val="002147F5"/>
    <w:rsid w:val="00273C7A"/>
    <w:rsid w:val="002D02C4"/>
    <w:rsid w:val="002D383B"/>
    <w:rsid w:val="00345C9D"/>
    <w:rsid w:val="00483737"/>
    <w:rsid w:val="0048651F"/>
    <w:rsid w:val="005157ED"/>
    <w:rsid w:val="00556397"/>
    <w:rsid w:val="00556D67"/>
    <w:rsid w:val="00696FA3"/>
    <w:rsid w:val="00793995"/>
    <w:rsid w:val="007C6F98"/>
    <w:rsid w:val="007E254A"/>
    <w:rsid w:val="008A491B"/>
    <w:rsid w:val="008B4366"/>
    <w:rsid w:val="009133C7"/>
    <w:rsid w:val="009178E4"/>
    <w:rsid w:val="00961B27"/>
    <w:rsid w:val="00AA7CE3"/>
    <w:rsid w:val="00AD2B46"/>
    <w:rsid w:val="00B91FA3"/>
    <w:rsid w:val="00C96C06"/>
    <w:rsid w:val="00E31BF6"/>
    <w:rsid w:val="00E81DB1"/>
    <w:rsid w:val="00EA4847"/>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4847"/>
    <w:rPr>
      <w:color w:val="808080"/>
    </w:rPr>
  </w:style>
  <w:style w:type="paragraph" w:customStyle="1" w:styleId="E460D38E05664FF79D4EFF282EF8EC9922">
    <w:name w:val="E460D38E05664FF79D4EFF282EF8EC9922"/>
    <w:rsid w:val="00EA4847"/>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1766</Words>
  <Characters>8833</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Sigal</cp:lastModifiedBy>
  <cp:revision>2</cp:revision>
  <cp:lastPrinted>2025-03-18T07:09:00Z</cp:lastPrinted>
  <dcterms:created xsi:type="dcterms:W3CDTF">2025-11-11T09:04:00Z</dcterms:created>
  <dcterms:modified xsi:type="dcterms:W3CDTF">2025-11-11T09:04:00Z</dcterms:modified>
</cp:coreProperties>
</file>